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02" w:rsidRDefault="000745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Supplemental Table 1:  Genes </w:t>
      </w:r>
      <w:r w:rsidR="00AC29B3">
        <w:rPr>
          <w:rFonts w:ascii="Arial" w:hAnsi="Arial" w:cs="Arial"/>
          <w:sz w:val="20"/>
          <w:szCs w:val="20"/>
        </w:rPr>
        <w:t>Targeted in OncoP</w:t>
      </w:r>
      <w:r w:rsidR="00DF2A77">
        <w:rPr>
          <w:rFonts w:ascii="Arial" w:hAnsi="Arial" w:cs="Arial"/>
          <w:sz w:val="20"/>
          <w:szCs w:val="20"/>
        </w:rPr>
        <w:t>anel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32"/>
        <w:gridCol w:w="922"/>
        <w:gridCol w:w="876"/>
        <w:gridCol w:w="884"/>
        <w:gridCol w:w="1046"/>
        <w:gridCol w:w="990"/>
        <w:gridCol w:w="3607"/>
      </w:tblGrid>
      <w:tr w:rsidR="00074508" w:rsidRPr="000C61F8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color w:val="000000"/>
                <w:sz w:val="18"/>
                <w:szCs w:val="24"/>
              </w:rPr>
              <w:t>Full-length exons for detection of SNVs, indels and copy number alterations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color w:val="000000"/>
                <w:sz w:val="18"/>
                <w:szCs w:val="24"/>
              </w:rPr>
              <w:t>Genomic regions for structural rearrangements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ABL1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CDK2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EXT2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KDM6A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NTRK3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SETBP1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ABL1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AKT1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CDK4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EZH2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KDM6B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PALB2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SETD2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AKT3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AKT2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CDK5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FAM46C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KDR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PARK2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SF1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ALK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AKT3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CDK6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FANCA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PAX5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SF3B1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BCL2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ALK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CDK9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FANCC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KRAS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PDCD1LG2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SH2B3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BCL6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ALOX12B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CDKN1A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FANCD2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LMO1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PDGFRA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SMAD2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BRAF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APC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CDKN1B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FANCE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LMO2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PDGFRB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SMAD4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CIITA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CDKN1C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FANCF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LMO3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PHF6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SMARCA4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color w:val="000000"/>
                <w:sz w:val="18"/>
                <w:szCs w:val="24"/>
              </w:rPr>
              <w:t>EGFR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ARAF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CDKN2A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FANCG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MAP2K1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PHOX2B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SMARCB1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color w:val="000000"/>
                <w:sz w:val="18"/>
                <w:szCs w:val="24"/>
              </w:rPr>
              <w:t>ETV1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ARID1A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CDKN2B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FAS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MAP2K4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PIK3C2B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SMC1A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EWSR1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ARID1B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CDKN2C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FBXW7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MAP3K1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PIK3CA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SMC3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FGFR1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ARID2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CEBPA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FGFR1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MAPK1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PIK3R1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FGFR3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ASXL1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CHEK2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FGFR2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MCL1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PIM1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SOCS1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FUS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ATM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CIITA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FGFR3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MDM2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PMS1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SOX2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IgH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ATRX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CREBBP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FGFR4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MDM4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PMS2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SOX9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IgK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AURKA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CRKL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FH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MECOM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PNRC1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SRC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IgL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AURKB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CRLF2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FKBP9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MEF2B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PRAME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SRSF2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JAK2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AXL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CRTC1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FLCN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MEN1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PRDM1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STAG1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MLL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B2M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CRTC2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FLT1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PRF1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STAG2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MYC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BAP1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CTNNB1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FLT3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MITF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PRKAR1A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STAT3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NPM1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BCL2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CUX1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FLT4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MLH1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PRKCI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STAT6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PAX5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BCL2L1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CYLD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FUS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PRKCZ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STK11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PDGFRA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BCL2L12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DDB2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GATA3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MLL2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PRKDC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SUFU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PDGFRB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BCL6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DDR2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GATA4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PRPF40B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SUZ12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RAF1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BCOR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DICER1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GATA6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MSH2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PRPF8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SYK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RARA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BCORL1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DIS3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GLI1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MSH6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PSMD13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TCF3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RET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BLM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DMD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GLI2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PTCH1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TCF7L1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ROS1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BMPR1A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DNMT3A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GLI3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MUTYH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TCF7L2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TRA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BRAF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EGFR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GNA11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MYB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PTK2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TERT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TRB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BRCA1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EP300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GNAQ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MYBL1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PTPN11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TET2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TRG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BRCA2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EPHA3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GNAS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MYC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RAD21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TNFAIP3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BRD4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EPHA5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GPC3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MYCL1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RAF1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TP53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BRIP1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EPHA7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GSTM5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MYCN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RARA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TRA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BUB1B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ERBB2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H3F3A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MYD88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RB1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TRB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CARD11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ERBB3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HNF1A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NBN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RBL2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TRG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ERBB4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HRAS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NF1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TSC1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CBLB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ERCC2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ID3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NF2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TSC2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CCND1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ERCC3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IDH1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NFE2L2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RFWD2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U2AF1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CCND2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ERCC4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IDH2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NFKBIA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RHPN2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VHL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CCND3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ERCC5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IGF1R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NFKBIZ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ROS1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WRN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CCNE1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ESR1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NKX2-1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RPL26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WT1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lastRenderedPageBreak/>
              <w:t>CD274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ETV1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IGK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NOTCH1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RUNX1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XPA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CD58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ETV4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IGL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NOTCH2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SBDS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XPC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CD79B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ETV5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IKZF1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NPM1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SDHAF2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XPO1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CDC73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ETV6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IKZF3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NRAS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SDHB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ZNF217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CDH1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EWSR1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NTRK1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SDHC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ZNF708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074508" w:rsidRPr="000C61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CDK1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EXT1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JAK3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NTRK2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SDHD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sz w:val="18"/>
                <w:szCs w:val="24"/>
              </w:rPr>
              <w:t>ZRSR2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08" w:rsidRPr="000C61F8" w:rsidRDefault="00074508" w:rsidP="000745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</w:rPr>
            </w:pPr>
            <w:r w:rsidRPr="000C61F8">
              <w:rPr>
                <w:rFonts w:eastAsia="Times New Roman" w:cs="Times New Roman"/>
                <w:color w:val="000000"/>
                <w:sz w:val="18"/>
                <w:szCs w:val="24"/>
              </w:rPr>
              <w:t> </w:t>
            </w:r>
          </w:p>
        </w:tc>
      </w:tr>
    </w:tbl>
    <w:p w:rsidR="00DF2A77" w:rsidRDefault="00F33A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DF2A77">
        <w:rPr>
          <w:rFonts w:ascii="Arial" w:hAnsi="Arial" w:cs="Arial"/>
          <w:sz w:val="20"/>
          <w:szCs w:val="20"/>
        </w:rPr>
        <w:lastRenderedPageBreak/>
        <w:t>Supplemental Table 2:  Tumor Diagnoses in the Sequencing Cohort</w:t>
      </w:r>
    </w:p>
    <w:tbl>
      <w:tblPr>
        <w:tblpPr w:leftFromText="180" w:rightFromText="180" w:vertAnchor="page" w:horzAnchor="margin" w:tblpY="2326"/>
        <w:tblW w:w="9627" w:type="dxa"/>
        <w:tblLook w:val="04A0" w:firstRow="1" w:lastRow="0" w:firstColumn="1" w:lastColumn="0" w:noHBand="0" w:noVBand="1"/>
      </w:tblPr>
      <w:tblGrid>
        <w:gridCol w:w="4068"/>
        <w:gridCol w:w="900"/>
        <w:gridCol w:w="3759"/>
        <w:gridCol w:w="900"/>
      </w:tblGrid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Number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Adrenal Gland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Nasopharynx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Adrenocortical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Pheochromocytoma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DLBCL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Primitive neuroectodermal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Neuroblastoma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Ampulla of Vater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Nut Midline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Squamous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Undifferentiated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Nerve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Squamous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Schwannoma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Appendix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Goblet cell carcinoid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Neuroblastoma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Mucinous 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Oral Cavity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Mucinous neoplasm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Adenoid cystic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Neuroendocrine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Nut Midline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Bile Duct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Squamous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Cholangiocarcinoma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Oropharynx and hypopharynx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Adenoid cystic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Chondroblastoma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Squamous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Chondrosarcoma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Osteosarcoma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B-cell Lymphoma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Blastoma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Bone Marrow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Acute Leukemia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Follicular lymphoma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Leiomyosarcoma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Liposarcoma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B-ALL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Neoplasm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B-cell Lymphoma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Peripheral nerve sheath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CLL/SLL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Rhabdomyosarcoma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Squamous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CMML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Wilms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Essential thrombocythemia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Ovary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Hairy cell leukemia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Histiocytic 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Borderline serous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Idiopathic hypereosinophilic syndrome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Lymphoma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Malignancy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Clear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Mastocytosis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Endometrioid 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left="180" w:firstLineChars="10" w:firstLine="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Myelodysplastic/myeloproliferative neoplasm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Granulosa cell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Myeloma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Mucinous 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NK/T-cell Lymphoma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Serous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Sex-cord stromal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Plasmacytoma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Small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Polycythemia vera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Teratoma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Refractory cytopenia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Undifferentiated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T-ALL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Pancreas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T-cell lymphoma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T-LGL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IPMN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Brain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Neuroendocrine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Choroid plexus papilloma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Neuroendocrine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Craniopharyngioma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Pancreatoblastoma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DLBCL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Solid pseudopapillary neoplasm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Ependymoma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Penis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Ganglioglioma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Squamous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Glioblastoma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Peritoneum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Glioma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Hemangioblastoma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Desmoid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Medulloblastoma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Liposarcoma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Medullomyoblastoma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Mesothelioma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Melanocytoma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Pituitary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Meningioma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Neuroblastoma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Pleura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Neurocytoma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DLBCL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Neuroepithelial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Ewing 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Oligoastrocytoma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Mesothelioma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Oligodendroglioma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Prostate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184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Pilocytic astrocytoma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Pineoblastoma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Adenoid cystic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Pleomorphic xanthoastrocytoma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Retroperitoneum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Schwannoma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Leiomyosarcoma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Subependymoma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Liposarcoma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Myxoma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Angiosarcoma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Salivary gland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Adenoid cystic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Neuroendocrine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Phyllodes tumour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Carcinoma ex pleomorphic adenoma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Squamous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Merkel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Cervix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Mucoepidermoid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Myoepithelioma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Squamous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Neoplasm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Pleomorphic  adenoma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Squamous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Liposarcoma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Skin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Endometrium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Angiosarcoma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Apocrine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Mucinous 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B-cell Lymphoma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Serous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Cutaneous T cell lymphoma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Lymphoma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Malignancy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Squamous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Merkel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Fallopian Tube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Squamous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Female genital tract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T-cell lymphoma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Borderline serous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 Stromal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Leiomyosarcoma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Neuroendocrine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Choriocarcinoma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Neuroendocrine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Endometrioid 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Soft tissue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Ewing 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Alveolar rhabdomyosarcoma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Leiomyoma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Angiosarcoma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Leiomyosarcoma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Chondrosarcoma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Malignancy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Chondrosarcoma, extraskeletal myxoid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Mesothelioma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Dermatofibrosarcoma protuberans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Mucinous 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Desmoid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Desmoplastic small round cell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Serous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Ewing 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Solitary fibrous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 Stromal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Squamous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Giant cell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Trophoblastic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Glomus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Gall Bladder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Hemangioendothelioma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F2A77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Leiomyosarcoma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A77" w:rsidRPr="004560CD" w:rsidRDefault="00DF2A77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Merkel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Lipomatous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Ganglion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Liposarcoma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Neuroblastoma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Lymphangioma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Gastrointestinal tract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Myoepithelioma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Myxofibrosarcoma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 Stromal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Myxoma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Osteosarcoma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Head and neck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Perineurioma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Squamous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Peripheral nerve sheath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Ileum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Rhabdomyosarcoma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Neuroepithelial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Schwannoma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Angiomyolipoma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Small round cell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Angiosarcoma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Solitary fibrous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Clear cell 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Synovial 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Myelolipoma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Neoplasm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Wilms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Oncocytoma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Soft tissue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Renal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Myxofibrosarcoma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Synovial 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Urothelial neoplasm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Wilms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Astroblastoma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Larynx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Ependymoma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Adenoid cystic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Hemangioma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Squamous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Neurofibroma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Lymphoma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Cholangiocarcinoma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Stomach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Hepatoblastoma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Hepatocellular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Gastrointestinal Stromal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Liposarcoma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Leiomyosarcoma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661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Testis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Germ cell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Adenoid cystic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Leydig cell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Atypical carcinoid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Liposarcoma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B-cell Lymphoma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Carcinoid-adenocarcinoma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Serous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Sertoli cell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Hemangioma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Throat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Lymphoma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Squamous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Neuroendocrine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Thymus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Neuroendocrine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Non-small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Thymoma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Small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Thyroid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Squamous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Anaplastic thyroid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Lymph node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B-cell Lymphoma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Follicular adenoma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Burkitt Lymphoma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Follicular thyroid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DLBCL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Medullary thyroid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Follicular lymphoma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Papillary thyroid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Hodgkin lymphoma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Poorly differentiated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Langerhans cell 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Undifferentiated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Lymphoma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NK/T-cell Lymphoma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T-cell lymphoma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Malignancy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Mediastinum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Squamous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DLBCL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Urinary tract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Liposarcoma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Squamous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Bladder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Nasopharynx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Ewing 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Leiomyosarcoma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Paget's disease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DLBCL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Sarcoma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Neuroblastoma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Small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Nut Midline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Urothelial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Squamous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Urothelial neoplasm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Undifferentiated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Vagina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Nerve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Schwannoma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Vulva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Squamous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Neuroblastoma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Yolk sac tumor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828" w:rsidRPr="004560CD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83468C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</w:tcPr>
          <w:p w:rsidR="00674828" w:rsidRPr="004560CD" w:rsidRDefault="00674828" w:rsidP="00DF2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6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3892</w:t>
            </w:r>
          </w:p>
        </w:tc>
      </w:tr>
    </w:tbl>
    <w:p w:rsidR="00DF2A77" w:rsidRDefault="00DF2A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953CB" w:rsidRPr="00C434DA" w:rsidRDefault="00923CE5">
      <w:pPr>
        <w:rPr>
          <w:rFonts w:ascii="Arial" w:hAnsi="Arial" w:cs="Arial"/>
          <w:sz w:val="20"/>
          <w:szCs w:val="20"/>
        </w:rPr>
      </w:pPr>
      <w:r w:rsidRPr="00C434DA">
        <w:rPr>
          <w:rFonts w:ascii="Arial" w:hAnsi="Arial" w:cs="Arial"/>
          <w:sz w:val="20"/>
          <w:szCs w:val="20"/>
        </w:rPr>
        <w:lastRenderedPageBreak/>
        <w:t xml:space="preserve">Supplemental Table </w:t>
      </w:r>
      <w:r w:rsidR="00FC1B35">
        <w:rPr>
          <w:rFonts w:ascii="Arial" w:hAnsi="Arial" w:cs="Arial"/>
          <w:sz w:val="20"/>
          <w:szCs w:val="20"/>
        </w:rPr>
        <w:t>3</w:t>
      </w:r>
      <w:r w:rsidRPr="00C434DA">
        <w:rPr>
          <w:rFonts w:ascii="Arial" w:hAnsi="Arial" w:cs="Arial"/>
          <w:sz w:val="20"/>
          <w:szCs w:val="20"/>
        </w:rPr>
        <w:t xml:space="preserve">. </w:t>
      </w:r>
      <w:r w:rsidR="00891F72" w:rsidRPr="00C434DA">
        <w:rPr>
          <w:rFonts w:ascii="Arial" w:hAnsi="Arial" w:cs="Arial"/>
          <w:sz w:val="20"/>
          <w:szCs w:val="20"/>
        </w:rPr>
        <w:t>OncoPanel</w:t>
      </w:r>
      <w:bookmarkStart w:id="0" w:name="_GoBack"/>
      <w:bookmarkEnd w:id="0"/>
      <w:r w:rsidRPr="00C434DA">
        <w:rPr>
          <w:rFonts w:ascii="Arial" w:hAnsi="Arial" w:cs="Arial"/>
          <w:sz w:val="20"/>
          <w:szCs w:val="20"/>
        </w:rPr>
        <w:t xml:space="preserve"> assay performance for detection of KRAS point mutations and EGFR insertion-deletion mutations.</w:t>
      </w:r>
    </w:p>
    <w:p w:rsidR="006953CB" w:rsidRPr="00C434DA" w:rsidRDefault="006953CB" w:rsidP="006953CB">
      <w:pPr>
        <w:rPr>
          <w:rFonts w:ascii="Arial" w:hAnsi="Arial" w:cs="Arial"/>
          <w:sz w:val="20"/>
          <w:szCs w:val="20"/>
        </w:rPr>
      </w:pPr>
    </w:p>
    <w:p w:rsidR="006953CB" w:rsidRPr="00C434DA" w:rsidRDefault="00D001F5" w:rsidP="0069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25pt;margin-top:1.1pt;width:443.35pt;height:124.95pt;z-index:251658240">
            <v:imagedata r:id="rId6" o:title=""/>
          </v:shape>
          <o:OLEObject Type="Embed" ProgID="Word.Document.12" ShapeID="_x0000_s1026" DrawAspect="Content" ObjectID="_1537011143" r:id="rId7">
            <o:FieldCodes>\s</o:FieldCodes>
          </o:OLEObject>
        </w:object>
      </w:r>
    </w:p>
    <w:p w:rsidR="006953CB" w:rsidRPr="00C434DA" w:rsidRDefault="006953CB" w:rsidP="006953CB">
      <w:pPr>
        <w:rPr>
          <w:rFonts w:ascii="Arial" w:hAnsi="Arial" w:cs="Arial"/>
          <w:sz w:val="20"/>
          <w:szCs w:val="20"/>
        </w:rPr>
      </w:pPr>
    </w:p>
    <w:p w:rsidR="006953CB" w:rsidRPr="00C434DA" w:rsidRDefault="006953CB" w:rsidP="006953CB">
      <w:pPr>
        <w:rPr>
          <w:rFonts w:ascii="Arial" w:hAnsi="Arial" w:cs="Arial"/>
          <w:sz w:val="20"/>
          <w:szCs w:val="20"/>
        </w:rPr>
      </w:pPr>
    </w:p>
    <w:p w:rsidR="006953CB" w:rsidRPr="00C434DA" w:rsidRDefault="006953CB" w:rsidP="006953CB">
      <w:pPr>
        <w:rPr>
          <w:rFonts w:ascii="Arial" w:hAnsi="Arial" w:cs="Arial"/>
          <w:sz w:val="20"/>
          <w:szCs w:val="20"/>
        </w:rPr>
      </w:pPr>
    </w:p>
    <w:p w:rsidR="006953CB" w:rsidRPr="00C434DA" w:rsidRDefault="006953CB" w:rsidP="006953CB">
      <w:pPr>
        <w:rPr>
          <w:rFonts w:ascii="Arial" w:hAnsi="Arial" w:cs="Arial"/>
          <w:sz w:val="20"/>
          <w:szCs w:val="20"/>
        </w:rPr>
      </w:pPr>
    </w:p>
    <w:p w:rsidR="006953CB" w:rsidRPr="00C434DA" w:rsidRDefault="006953CB" w:rsidP="006953CB">
      <w:pPr>
        <w:rPr>
          <w:rFonts w:ascii="Arial" w:hAnsi="Arial" w:cs="Arial"/>
          <w:sz w:val="20"/>
          <w:szCs w:val="20"/>
        </w:rPr>
      </w:pPr>
    </w:p>
    <w:p w:rsidR="006953CB" w:rsidRPr="00C434DA" w:rsidRDefault="00D001F5" w:rsidP="0069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object w:dxaOrig="1440" w:dyaOrig="1440">
          <v:shape id="_x0000_s1027" type="#_x0000_t75" style="position:absolute;margin-left:13.25pt;margin-top:10.95pt;width:443.35pt;height:124.95pt;z-index:251659264">
            <v:imagedata r:id="rId8" o:title=""/>
          </v:shape>
          <o:OLEObject Type="Embed" ProgID="Word.Document.12" ShapeID="_x0000_s1027" DrawAspect="Content" ObjectID="_1537011144" r:id="rId9">
            <o:FieldCodes>\s</o:FieldCodes>
          </o:OLEObject>
        </w:object>
      </w:r>
    </w:p>
    <w:p w:rsidR="006953CB" w:rsidRPr="00C434DA" w:rsidRDefault="006953CB" w:rsidP="006953CB">
      <w:pPr>
        <w:rPr>
          <w:rFonts w:ascii="Arial" w:hAnsi="Arial" w:cs="Arial"/>
          <w:sz w:val="20"/>
          <w:szCs w:val="20"/>
        </w:rPr>
      </w:pPr>
    </w:p>
    <w:p w:rsidR="006953CB" w:rsidRPr="00C434DA" w:rsidRDefault="006953CB" w:rsidP="006953CB">
      <w:pPr>
        <w:rPr>
          <w:rFonts w:ascii="Arial" w:hAnsi="Arial" w:cs="Arial"/>
          <w:sz w:val="20"/>
          <w:szCs w:val="20"/>
        </w:rPr>
      </w:pPr>
    </w:p>
    <w:p w:rsidR="006953CB" w:rsidRPr="00C434DA" w:rsidRDefault="006953CB" w:rsidP="006953CB">
      <w:pPr>
        <w:tabs>
          <w:tab w:val="left" w:pos="2955"/>
        </w:tabs>
        <w:rPr>
          <w:rFonts w:ascii="Arial" w:hAnsi="Arial" w:cs="Arial"/>
          <w:sz w:val="20"/>
          <w:szCs w:val="20"/>
        </w:rPr>
      </w:pPr>
      <w:r w:rsidRPr="00C434DA">
        <w:rPr>
          <w:rFonts w:ascii="Arial" w:hAnsi="Arial" w:cs="Arial"/>
          <w:sz w:val="20"/>
          <w:szCs w:val="20"/>
        </w:rPr>
        <w:tab/>
      </w:r>
    </w:p>
    <w:p w:rsidR="006953CB" w:rsidRPr="00C434DA" w:rsidRDefault="006953CB" w:rsidP="006953CB">
      <w:pPr>
        <w:rPr>
          <w:rFonts w:ascii="Arial" w:hAnsi="Arial" w:cs="Arial"/>
          <w:sz w:val="20"/>
          <w:szCs w:val="20"/>
        </w:rPr>
      </w:pPr>
    </w:p>
    <w:p w:rsidR="006953CB" w:rsidRPr="00C434DA" w:rsidRDefault="006953CB" w:rsidP="006953CB">
      <w:pPr>
        <w:rPr>
          <w:rFonts w:ascii="Arial" w:hAnsi="Arial" w:cs="Arial"/>
          <w:sz w:val="20"/>
          <w:szCs w:val="20"/>
        </w:rPr>
      </w:pPr>
    </w:p>
    <w:p w:rsidR="00D30D20" w:rsidRPr="00C434DA" w:rsidRDefault="006953CB" w:rsidP="006953CB">
      <w:pPr>
        <w:tabs>
          <w:tab w:val="left" w:pos="3990"/>
        </w:tabs>
        <w:rPr>
          <w:rFonts w:ascii="Arial" w:hAnsi="Arial" w:cs="Arial"/>
          <w:sz w:val="20"/>
          <w:szCs w:val="20"/>
        </w:rPr>
      </w:pPr>
      <w:r w:rsidRPr="00C434DA">
        <w:rPr>
          <w:rFonts w:ascii="Arial" w:hAnsi="Arial" w:cs="Arial"/>
          <w:sz w:val="20"/>
          <w:szCs w:val="20"/>
        </w:rPr>
        <w:tab/>
      </w:r>
    </w:p>
    <w:p w:rsidR="00D30D20" w:rsidRPr="00C434DA" w:rsidRDefault="00D30D20" w:rsidP="00D30D20">
      <w:pPr>
        <w:rPr>
          <w:rFonts w:ascii="Arial" w:hAnsi="Arial" w:cs="Arial"/>
          <w:sz w:val="20"/>
          <w:szCs w:val="20"/>
        </w:rPr>
      </w:pPr>
    </w:p>
    <w:p w:rsidR="00D30D20" w:rsidRPr="00C434DA" w:rsidRDefault="00D30D20" w:rsidP="00D30D20">
      <w:pPr>
        <w:rPr>
          <w:rFonts w:ascii="Arial" w:hAnsi="Arial" w:cs="Arial"/>
          <w:sz w:val="20"/>
          <w:szCs w:val="20"/>
        </w:rPr>
      </w:pPr>
    </w:p>
    <w:p w:rsidR="00D30D20" w:rsidRPr="00C434DA" w:rsidRDefault="00D30D20" w:rsidP="00D30D20">
      <w:pPr>
        <w:rPr>
          <w:rFonts w:ascii="Arial" w:hAnsi="Arial" w:cs="Arial"/>
          <w:sz w:val="20"/>
          <w:szCs w:val="20"/>
        </w:rPr>
      </w:pPr>
    </w:p>
    <w:p w:rsidR="00D30D20" w:rsidRPr="00C434DA" w:rsidRDefault="00D30D20" w:rsidP="00D30D20">
      <w:pPr>
        <w:rPr>
          <w:rFonts w:ascii="Arial" w:hAnsi="Arial" w:cs="Arial"/>
          <w:sz w:val="20"/>
          <w:szCs w:val="20"/>
        </w:rPr>
      </w:pPr>
    </w:p>
    <w:p w:rsidR="00E52E0C" w:rsidRPr="00C434DA" w:rsidRDefault="00E52E0C" w:rsidP="00D30D20">
      <w:pPr>
        <w:rPr>
          <w:rFonts w:ascii="Arial" w:hAnsi="Arial" w:cs="Arial"/>
          <w:sz w:val="20"/>
          <w:szCs w:val="20"/>
        </w:rPr>
      </w:pPr>
    </w:p>
    <w:p w:rsidR="00E52E0C" w:rsidRPr="00C434DA" w:rsidRDefault="00E52E0C">
      <w:pPr>
        <w:rPr>
          <w:rFonts w:ascii="Arial" w:hAnsi="Arial" w:cs="Arial"/>
          <w:sz w:val="20"/>
          <w:szCs w:val="20"/>
        </w:rPr>
      </w:pPr>
      <w:r w:rsidRPr="00C434DA">
        <w:rPr>
          <w:rFonts w:ascii="Arial" w:hAnsi="Arial" w:cs="Arial"/>
          <w:sz w:val="20"/>
          <w:szCs w:val="20"/>
        </w:rPr>
        <w:br w:type="page"/>
      </w:r>
    </w:p>
    <w:p w:rsidR="00A21CDF" w:rsidRPr="00C434DA" w:rsidRDefault="00D001F5" w:rsidP="00D30D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object w:dxaOrig="1440" w:dyaOrig="1440">
          <v:shape id="_x0000_s1031" type="#_x0000_t75" style="position:absolute;margin-left:32.75pt;margin-top:25.45pt;width:446.7pt;height:309.15pt;z-index:251662336">
            <v:imagedata r:id="rId10" o:title=""/>
          </v:shape>
          <o:OLEObject Type="Embed" ProgID="Word.Document.12" ShapeID="_x0000_s1031" DrawAspect="Content" ObjectID="_1537011145" r:id="rId11">
            <o:FieldCodes>\s</o:FieldCodes>
          </o:OLEObject>
        </w:object>
      </w:r>
      <w:r w:rsidR="00A21CDF" w:rsidRPr="00C434DA">
        <w:rPr>
          <w:rFonts w:ascii="Arial" w:hAnsi="Arial" w:cs="Arial"/>
          <w:sz w:val="20"/>
          <w:szCs w:val="20"/>
        </w:rPr>
        <w:t xml:space="preserve">Supplemental Table </w:t>
      </w:r>
      <w:r w:rsidR="00FC1B35">
        <w:rPr>
          <w:rFonts w:ascii="Arial" w:hAnsi="Arial" w:cs="Arial"/>
          <w:sz w:val="20"/>
          <w:szCs w:val="20"/>
        </w:rPr>
        <w:t>4</w:t>
      </w:r>
      <w:r w:rsidR="00A21CDF" w:rsidRPr="00C434DA">
        <w:rPr>
          <w:rFonts w:ascii="Arial" w:hAnsi="Arial" w:cs="Arial"/>
          <w:sz w:val="20"/>
          <w:szCs w:val="20"/>
        </w:rPr>
        <w:t xml:space="preserve">.  </w:t>
      </w:r>
      <w:r w:rsidR="00891F72" w:rsidRPr="00C434DA">
        <w:rPr>
          <w:rFonts w:ascii="Arial" w:hAnsi="Arial" w:cs="Arial"/>
          <w:sz w:val="20"/>
          <w:szCs w:val="20"/>
        </w:rPr>
        <w:t>OncoPanel</w:t>
      </w:r>
      <w:r w:rsidR="00A21CDF" w:rsidRPr="00C434DA">
        <w:rPr>
          <w:rFonts w:ascii="Arial" w:hAnsi="Arial" w:cs="Arial"/>
          <w:sz w:val="20"/>
          <w:szCs w:val="20"/>
        </w:rPr>
        <w:t xml:space="preserve"> assay performance for detection of low and high copy number changes.</w:t>
      </w:r>
    </w:p>
    <w:p w:rsidR="00A21CDF" w:rsidRPr="00C434DA" w:rsidRDefault="00A21CDF">
      <w:pPr>
        <w:rPr>
          <w:rFonts w:ascii="Arial" w:hAnsi="Arial" w:cs="Arial"/>
          <w:sz w:val="20"/>
          <w:szCs w:val="20"/>
        </w:rPr>
      </w:pPr>
    </w:p>
    <w:p w:rsidR="00A21CDF" w:rsidRPr="00C434DA" w:rsidRDefault="00A21CDF">
      <w:pPr>
        <w:rPr>
          <w:rFonts w:ascii="Arial" w:hAnsi="Arial" w:cs="Arial"/>
          <w:sz w:val="20"/>
          <w:szCs w:val="20"/>
        </w:rPr>
      </w:pPr>
    </w:p>
    <w:p w:rsidR="00A21CDF" w:rsidRPr="00C434DA" w:rsidRDefault="00A21CDF">
      <w:pPr>
        <w:rPr>
          <w:rFonts w:ascii="Arial" w:hAnsi="Arial" w:cs="Arial"/>
          <w:sz w:val="20"/>
          <w:szCs w:val="20"/>
        </w:rPr>
      </w:pPr>
    </w:p>
    <w:p w:rsidR="00A21CDF" w:rsidRPr="00C434DA" w:rsidRDefault="00A21CDF">
      <w:pPr>
        <w:rPr>
          <w:rFonts w:ascii="Arial" w:hAnsi="Arial" w:cs="Arial"/>
          <w:sz w:val="20"/>
          <w:szCs w:val="20"/>
        </w:rPr>
      </w:pPr>
    </w:p>
    <w:p w:rsidR="00A21CDF" w:rsidRPr="00C434DA" w:rsidRDefault="00A21CDF">
      <w:pPr>
        <w:rPr>
          <w:rFonts w:ascii="Arial" w:hAnsi="Arial" w:cs="Arial"/>
          <w:sz w:val="20"/>
          <w:szCs w:val="20"/>
        </w:rPr>
      </w:pPr>
    </w:p>
    <w:p w:rsidR="00A21CDF" w:rsidRPr="00C434DA" w:rsidRDefault="00A21CDF">
      <w:pPr>
        <w:rPr>
          <w:rFonts w:ascii="Arial" w:hAnsi="Arial" w:cs="Arial"/>
          <w:sz w:val="20"/>
          <w:szCs w:val="20"/>
        </w:rPr>
      </w:pPr>
    </w:p>
    <w:p w:rsidR="00A21CDF" w:rsidRPr="00C434DA" w:rsidRDefault="00A21CDF">
      <w:pPr>
        <w:rPr>
          <w:rFonts w:ascii="Arial" w:hAnsi="Arial" w:cs="Arial"/>
          <w:sz w:val="20"/>
          <w:szCs w:val="20"/>
        </w:rPr>
      </w:pPr>
    </w:p>
    <w:p w:rsidR="00A21CDF" w:rsidRPr="00C434DA" w:rsidRDefault="00A21CDF">
      <w:pPr>
        <w:rPr>
          <w:rFonts w:ascii="Arial" w:hAnsi="Arial" w:cs="Arial"/>
          <w:sz w:val="20"/>
          <w:szCs w:val="20"/>
        </w:rPr>
      </w:pPr>
    </w:p>
    <w:p w:rsidR="00A21CDF" w:rsidRPr="00C434DA" w:rsidRDefault="00A21CDF">
      <w:pPr>
        <w:rPr>
          <w:rFonts w:ascii="Arial" w:hAnsi="Arial" w:cs="Arial"/>
          <w:sz w:val="20"/>
          <w:szCs w:val="20"/>
        </w:rPr>
      </w:pPr>
    </w:p>
    <w:p w:rsidR="00A21CDF" w:rsidRPr="00C434DA" w:rsidRDefault="00A21CDF">
      <w:pPr>
        <w:rPr>
          <w:rFonts w:ascii="Arial" w:hAnsi="Arial" w:cs="Arial"/>
          <w:sz w:val="20"/>
          <w:szCs w:val="20"/>
        </w:rPr>
      </w:pPr>
    </w:p>
    <w:p w:rsidR="00A21CDF" w:rsidRPr="00C434DA" w:rsidRDefault="00A21CDF">
      <w:pPr>
        <w:rPr>
          <w:rFonts w:ascii="Arial" w:hAnsi="Arial" w:cs="Arial"/>
          <w:sz w:val="20"/>
          <w:szCs w:val="20"/>
        </w:rPr>
      </w:pPr>
    </w:p>
    <w:p w:rsidR="00A21CDF" w:rsidRPr="00C434DA" w:rsidRDefault="00A21CDF">
      <w:pPr>
        <w:rPr>
          <w:rFonts w:ascii="Arial" w:hAnsi="Arial" w:cs="Arial"/>
          <w:sz w:val="20"/>
          <w:szCs w:val="20"/>
        </w:rPr>
      </w:pPr>
    </w:p>
    <w:p w:rsidR="00A21CDF" w:rsidRPr="00C434DA" w:rsidRDefault="00A21CDF">
      <w:pPr>
        <w:rPr>
          <w:rFonts w:ascii="Arial" w:hAnsi="Arial" w:cs="Arial"/>
          <w:sz w:val="20"/>
          <w:szCs w:val="20"/>
        </w:rPr>
      </w:pPr>
    </w:p>
    <w:p w:rsidR="00A21CDF" w:rsidRPr="00C434DA" w:rsidRDefault="00A21CDF">
      <w:pPr>
        <w:rPr>
          <w:rFonts w:ascii="Arial" w:hAnsi="Arial" w:cs="Arial"/>
          <w:sz w:val="20"/>
          <w:szCs w:val="20"/>
        </w:rPr>
      </w:pPr>
    </w:p>
    <w:p w:rsidR="00A21CDF" w:rsidRPr="00C434DA" w:rsidRDefault="00A21CDF">
      <w:pPr>
        <w:rPr>
          <w:rFonts w:ascii="Arial" w:hAnsi="Arial" w:cs="Arial"/>
          <w:sz w:val="20"/>
          <w:szCs w:val="20"/>
        </w:rPr>
      </w:pPr>
    </w:p>
    <w:p w:rsidR="00A21CDF" w:rsidRPr="00C434DA" w:rsidRDefault="00A21CDF">
      <w:pPr>
        <w:rPr>
          <w:rFonts w:ascii="Arial" w:hAnsi="Arial" w:cs="Arial"/>
          <w:sz w:val="20"/>
          <w:szCs w:val="20"/>
        </w:rPr>
      </w:pPr>
      <w:r w:rsidRPr="00C434DA">
        <w:rPr>
          <w:rFonts w:ascii="Arial" w:hAnsi="Arial" w:cs="Arial"/>
          <w:sz w:val="20"/>
          <w:szCs w:val="20"/>
        </w:rPr>
        <w:t xml:space="preserve">* In one case with a complex karyotype, segmental 1p loss and monosomy 19 was detected by Oncopanel but not by clinical aCGH.  </w:t>
      </w:r>
      <w:r w:rsidR="00384A12">
        <w:rPr>
          <w:rFonts w:ascii="Arial" w:hAnsi="Arial" w:cs="Arial"/>
          <w:sz w:val="20"/>
          <w:szCs w:val="20"/>
        </w:rPr>
        <w:t>In another case, monosomy 19 was detected by Oncopanel but not by clinical aCGH.</w:t>
      </w:r>
    </w:p>
    <w:p w:rsidR="00A21CDF" w:rsidRPr="00C434DA" w:rsidRDefault="00A21CDF">
      <w:pPr>
        <w:rPr>
          <w:rFonts w:ascii="Arial" w:hAnsi="Arial" w:cs="Arial"/>
          <w:sz w:val="20"/>
          <w:szCs w:val="20"/>
        </w:rPr>
      </w:pPr>
      <w:r w:rsidRPr="00C434DA">
        <w:rPr>
          <w:rFonts w:ascii="Arial" w:hAnsi="Arial" w:cs="Arial"/>
          <w:sz w:val="20"/>
          <w:szCs w:val="20"/>
        </w:rPr>
        <w:t>†In one case, low mean target coverage and high signal dispersion (noise) precluded accurate copy calls by Oncopanel.</w:t>
      </w:r>
      <w:r w:rsidRPr="00C434DA">
        <w:rPr>
          <w:rFonts w:ascii="Arial" w:hAnsi="Arial" w:cs="Arial"/>
          <w:sz w:val="20"/>
          <w:szCs w:val="20"/>
        </w:rPr>
        <w:br w:type="page"/>
      </w:r>
    </w:p>
    <w:p w:rsidR="00D30D20" w:rsidRPr="00C434DA" w:rsidRDefault="00923CE5" w:rsidP="00D30D20">
      <w:pPr>
        <w:rPr>
          <w:rFonts w:ascii="Arial" w:hAnsi="Arial" w:cs="Arial"/>
          <w:sz w:val="20"/>
          <w:szCs w:val="20"/>
        </w:rPr>
      </w:pPr>
      <w:r w:rsidRPr="00C434DA">
        <w:rPr>
          <w:rFonts w:ascii="Arial" w:hAnsi="Arial" w:cs="Arial"/>
          <w:sz w:val="20"/>
          <w:szCs w:val="20"/>
        </w:rPr>
        <w:lastRenderedPageBreak/>
        <w:t xml:space="preserve">Supplemental Table </w:t>
      </w:r>
      <w:r w:rsidR="00FC1B35">
        <w:rPr>
          <w:rFonts w:ascii="Arial" w:hAnsi="Arial" w:cs="Arial"/>
          <w:sz w:val="20"/>
          <w:szCs w:val="20"/>
        </w:rPr>
        <w:t>5</w:t>
      </w:r>
      <w:r w:rsidRPr="00C434DA">
        <w:rPr>
          <w:rFonts w:ascii="Arial" w:hAnsi="Arial" w:cs="Arial"/>
          <w:sz w:val="20"/>
          <w:szCs w:val="20"/>
        </w:rPr>
        <w:t>.  Onco</w:t>
      </w:r>
      <w:r w:rsidR="00891F72">
        <w:rPr>
          <w:rFonts w:ascii="Arial" w:hAnsi="Arial" w:cs="Arial"/>
          <w:sz w:val="20"/>
          <w:szCs w:val="20"/>
        </w:rPr>
        <w:t>P</w:t>
      </w:r>
      <w:r w:rsidRPr="00C434DA">
        <w:rPr>
          <w:rFonts w:ascii="Arial" w:hAnsi="Arial" w:cs="Arial"/>
          <w:sz w:val="20"/>
          <w:szCs w:val="20"/>
        </w:rPr>
        <w:t>anel assay performance for detection of ALK rearrangements.</w:t>
      </w:r>
    </w:p>
    <w:p w:rsidR="00D30D20" w:rsidRPr="00C434DA" w:rsidRDefault="00D001F5" w:rsidP="00D30D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object w:dxaOrig="1440" w:dyaOrig="1440">
          <v:shape id="_x0000_s1030" type="#_x0000_t75" style="position:absolute;margin-left:18.75pt;margin-top:23.3pt;width:443.35pt;height:282.35pt;z-index:251661312">
            <v:imagedata r:id="rId12" o:title=""/>
          </v:shape>
          <o:OLEObject Type="Embed" ProgID="Word.Document.12" ShapeID="_x0000_s1030" DrawAspect="Content" ObjectID="_1537011146" r:id="rId13">
            <o:FieldCodes>\s</o:FieldCodes>
          </o:OLEObject>
        </w:object>
      </w:r>
    </w:p>
    <w:p w:rsidR="00D30D20" w:rsidRPr="00C434DA" w:rsidRDefault="00D30D20" w:rsidP="00D30D20">
      <w:pPr>
        <w:rPr>
          <w:rFonts w:ascii="Arial" w:hAnsi="Arial" w:cs="Arial"/>
          <w:sz w:val="20"/>
          <w:szCs w:val="20"/>
        </w:rPr>
      </w:pPr>
    </w:p>
    <w:p w:rsidR="00D30D20" w:rsidRPr="00C434DA" w:rsidRDefault="00D30D20" w:rsidP="00D30D20">
      <w:pPr>
        <w:rPr>
          <w:rFonts w:ascii="Arial" w:hAnsi="Arial" w:cs="Arial"/>
          <w:sz w:val="20"/>
          <w:szCs w:val="20"/>
        </w:rPr>
      </w:pPr>
    </w:p>
    <w:p w:rsidR="002F5A83" w:rsidRPr="00C434DA" w:rsidRDefault="002F5A83">
      <w:pPr>
        <w:rPr>
          <w:rFonts w:ascii="Arial" w:hAnsi="Arial" w:cs="Arial"/>
          <w:sz w:val="20"/>
          <w:szCs w:val="20"/>
        </w:rPr>
      </w:pPr>
    </w:p>
    <w:p w:rsidR="002F5A83" w:rsidRPr="00C434DA" w:rsidRDefault="002F5A83">
      <w:pPr>
        <w:rPr>
          <w:rFonts w:ascii="Arial" w:hAnsi="Arial" w:cs="Arial"/>
          <w:sz w:val="20"/>
          <w:szCs w:val="20"/>
        </w:rPr>
      </w:pPr>
    </w:p>
    <w:p w:rsidR="002F5A83" w:rsidRPr="00C434DA" w:rsidRDefault="002F5A83">
      <w:pPr>
        <w:rPr>
          <w:rFonts w:ascii="Arial" w:hAnsi="Arial" w:cs="Arial"/>
          <w:sz w:val="20"/>
          <w:szCs w:val="20"/>
        </w:rPr>
      </w:pPr>
    </w:p>
    <w:p w:rsidR="002F5A83" w:rsidRPr="00C434DA" w:rsidRDefault="002F5A83">
      <w:pPr>
        <w:rPr>
          <w:rFonts w:ascii="Arial" w:hAnsi="Arial" w:cs="Arial"/>
          <w:sz w:val="20"/>
          <w:szCs w:val="20"/>
        </w:rPr>
      </w:pPr>
    </w:p>
    <w:p w:rsidR="002F5A83" w:rsidRPr="00C434DA" w:rsidRDefault="002F5A83">
      <w:pPr>
        <w:rPr>
          <w:rFonts w:ascii="Arial" w:hAnsi="Arial" w:cs="Arial"/>
          <w:sz w:val="20"/>
          <w:szCs w:val="20"/>
        </w:rPr>
      </w:pPr>
    </w:p>
    <w:p w:rsidR="002F5A83" w:rsidRPr="00C434DA" w:rsidRDefault="002F5A83">
      <w:pPr>
        <w:rPr>
          <w:rFonts w:ascii="Arial" w:hAnsi="Arial" w:cs="Arial"/>
          <w:sz w:val="20"/>
          <w:szCs w:val="20"/>
        </w:rPr>
      </w:pPr>
    </w:p>
    <w:p w:rsidR="002F5A83" w:rsidRPr="00C434DA" w:rsidRDefault="002F5A83">
      <w:pPr>
        <w:rPr>
          <w:rFonts w:ascii="Arial" w:hAnsi="Arial" w:cs="Arial"/>
          <w:sz w:val="20"/>
          <w:szCs w:val="20"/>
        </w:rPr>
      </w:pPr>
    </w:p>
    <w:p w:rsidR="002F5A83" w:rsidRPr="00C434DA" w:rsidRDefault="002F5A83">
      <w:pPr>
        <w:rPr>
          <w:rFonts w:ascii="Arial" w:hAnsi="Arial" w:cs="Arial"/>
          <w:sz w:val="20"/>
          <w:szCs w:val="20"/>
        </w:rPr>
      </w:pPr>
    </w:p>
    <w:p w:rsidR="002F5A83" w:rsidRPr="00C434DA" w:rsidRDefault="002F5A83">
      <w:pPr>
        <w:rPr>
          <w:rFonts w:ascii="Arial" w:hAnsi="Arial" w:cs="Arial"/>
          <w:sz w:val="20"/>
          <w:szCs w:val="20"/>
        </w:rPr>
      </w:pPr>
    </w:p>
    <w:p w:rsidR="002F5A83" w:rsidRPr="00C434DA" w:rsidRDefault="002F5A83">
      <w:pPr>
        <w:rPr>
          <w:rFonts w:ascii="Arial" w:hAnsi="Arial" w:cs="Arial"/>
          <w:sz w:val="20"/>
          <w:szCs w:val="20"/>
        </w:rPr>
      </w:pPr>
    </w:p>
    <w:p w:rsidR="002F5A83" w:rsidRPr="00C434DA" w:rsidRDefault="002F5A83" w:rsidP="002F5A83">
      <w:pPr>
        <w:rPr>
          <w:rFonts w:ascii="Arial" w:hAnsi="Arial" w:cs="Arial"/>
          <w:sz w:val="20"/>
          <w:szCs w:val="20"/>
        </w:rPr>
      </w:pPr>
      <w:r w:rsidRPr="00C434DA">
        <w:rPr>
          <w:rFonts w:ascii="Arial" w:hAnsi="Arial" w:cs="Arial"/>
          <w:sz w:val="20"/>
          <w:szCs w:val="20"/>
        </w:rPr>
        <w:t xml:space="preserve">*One case considered a false negative by Oncopanel was estimated to have &lt;20% tumor content and thus was below the limit of detection for this assay.  </w:t>
      </w:r>
    </w:p>
    <w:p w:rsidR="002F5A83" w:rsidRPr="00C434DA" w:rsidRDefault="002F5A83" w:rsidP="002F5A83">
      <w:pPr>
        <w:rPr>
          <w:rFonts w:ascii="Arial" w:hAnsi="Arial" w:cs="Arial"/>
          <w:sz w:val="20"/>
          <w:szCs w:val="20"/>
        </w:rPr>
      </w:pPr>
    </w:p>
    <w:p w:rsidR="00805C69" w:rsidRPr="00DB0433" w:rsidRDefault="002F5A83" w:rsidP="00AE5277">
      <w:pPr>
        <w:rPr>
          <w:rFonts w:ascii="Arial" w:hAnsi="Arial" w:cs="Arial"/>
          <w:sz w:val="20"/>
          <w:szCs w:val="20"/>
        </w:rPr>
      </w:pPr>
      <w:r w:rsidRPr="00C434DA">
        <w:rPr>
          <w:rFonts w:ascii="Arial" w:hAnsi="Arial" w:cs="Arial"/>
          <w:sz w:val="20"/>
          <w:szCs w:val="20"/>
        </w:rPr>
        <w:t xml:space="preserve">†After elimination of one tumor </w:t>
      </w:r>
      <w:r w:rsidR="004D0E6A">
        <w:rPr>
          <w:rFonts w:ascii="Arial" w:hAnsi="Arial" w:cs="Arial"/>
          <w:sz w:val="20"/>
          <w:szCs w:val="20"/>
        </w:rPr>
        <w:t xml:space="preserve">with a concurrent KRAS activating mutation </w:t>
      </w:r>
      <w:r w:rsidRPr="00C434DA">
        <w:rPr>
          <w:rFonts w:ascii="Arial" w:hAnsi="Arial" w:cs="Arial"/>
          <w:sz w:val="20"/>
          <w:szCs w:val="20"/>
        </w:rPr>
        <w:t>cons</w:t>
      </w:r>
      <w:r w:rsidR="00C62ADD">
        <w:rPr>
          <w:rFonts w:ascii="Arial" w:hAnsi="Arial" w:cs="Arial"/>
          <w:sz w:val="20"/>
          <w:szCs w:val="20"/>
        </w:rPr>
        <w:t>idered falsely positive by FISH, and inclusion of one tumor originally called negative by FISH but found to have ALK rearrangement by OncoPanel as well</w:t>
      </w:r>
      <w:r w:rsidR="00AE5277">
        <w:rPr>
          <w:rFonts w:ascii="Arial" w:hAnsi="Arial" w:cs="Arial"/>
          <w:sz w:val="20"/>
          <w:szCs w:val="20"/>
        </w:rPr>
        <w:t xml:space="preserve"> as ALK protein overexpression.</w:t>
      </w:r>
    </w:p>
    <w:sectPr w:rsidR="00805C69" w:rsidRPr="00DB0433" w:rsidSect="00AE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F5" w:rsidRDefault="00D001F5" w:rsidP="00C434DA">
      <w:pPr>
        <w:spacing w:after="0" w:line="240" w:lineRule="auto"/>
      </w:pPr>
      <w:r>
        <w:separator/>
      </w:r>
    </w:p>
  </w:endnote>
  <w:endnote w:type="continuationSeparator" w:id="0">
    <w:p w:rsidR="00D001F5" w:rsidRDefault="00D001F5" w:rsidP="00C4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F5" w:rsidRDefault="00D001F5" w:rsidP="00C434DA">
      <w:pPr>
        <w:spacing w:after="0" w:line="240" w:lineRule="auto"/>
      </w:pPr>
      <w:r>
        <w:separator/>
      </w:r>
    </w:p>
  </w:footnote>
  <w:footnote w:type="continuationSeparator" w:id="0">
    <w:p w:rsidR="00D001F5" w:rsidRDefault="00D001F5" w:rsidP="00C43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CB"/>
    <w:rsid w:val="00000887"/>
    <w:rsid w:val="0000686D"/>
    <w:rsid w:val="000119F1"/>
    <w:rsid w:val="00014B85"/>
    <w:rsid w:val="000254DF"/>
    <w:rsid w:val="00033A09"/>
    <w:rsid w:val="0004196A"/>
    <w:rsid w:val="000550F6"/>
    <w:rsid w:val="00063065"/>
    <w:rsid w:val="000653BE"/>
    <w:rsid w:val="00074508"/>
    <w:rsid w:val="0007606E"/>
    <w:rsid w:val="000875F7"/>
    <w:rsid w:val="00096244"/>
    <w:rsid w:val="000A77F8"/>
    <w:rsid w:val="000B2716"/>
    <w:rsid w:val="000F2D48"/>
    <w:rsid w:val="0010353B"/>
    <w:rsid w:val="001112E0"/>
    <w:rsid w:val="00113E48"/>
    <w:rsid w:val="00126D99"/>
    <w:rsid w:val="00131A80"/>
    <w:rsid w:val="00133243"/>
    <w:rsid w:val="00136636"/>
    <w:rsid w:val="00156D18"/>
    <w:rsid w:val="00160904"/>
    <w:rsid w:val="00170356"/>
    <w:rsid w:val="00184372"/>
    <w:rsid w:val="001A22CF"/>
    <w:rsid w:val="001A4225"/>
    <w:rsid w:val="001B2C85"/>
    <w:rsid w:val="001C0262"/>
    <w:rsid w:val="001C0C39"/>
    <w:rsid w:val="001C4AFE"/>
    <w:rsid w:val="001F0EAE"/>
    <w:rsid w:val="00213073"/>
    <w:rsid w:val="0022192F"/>
    <w:rsid w:val="00242AA0"/>
    <w:rsid w:val="00255070"/>
    <w:rsid w:val="0025590C"/>
    <w:rsid w:val="00263CC2"/>
    <w:rsid w:val="0027631D"/>
    <w:rsid w:val="00281F16"/>
    <w:rsid w:val="00284153"/>
    <w:rsid w:val="0029154A"/>
    <w:rsid w:val="002943E4"/>
    <w:rsid w:val="002E7589"/>
    <w:rsid w:val="002F3CB2"/>
    <w:rsid w:val="002F5A83"/>
    <w:rsid w:val="002F742C"/>
    <w:rsid w:val="00300544"/>
    <w:rsid w:val="00327992"/>
    <w:rsid w:val="0034239C"/>
    <w:rsid w:val="00343815"/>
    <w:rsid w:val="003445FB"/>
    <w:rsid w:val="00384A12"/>
    <w:rsid w:val="003976D1"/>
    <w:rsid w:val="003A5DB7"/>
    <w:rsid w:val="003B4B2E"/>
    <w:rsid w:val="003C4218"/>
    <w:rsid w:val="003E6CF4"/>
    <w:rsid w:val="003E736C"/>
    <w:rsid w:val="004006EB"/>
    <w:rsid w:val="00420ECF"/>
    <w:rsid w:val="00430BFC"/>
    <w:rsid w:val="00436FDE"/>
    <w:rsid w:val="00442881"/>
    <w:rsid w:val="004472C1"/>
    <w:rsid w:val="00470207"/>
    <w:rsid w:val="00480CDF"/>
    <w:rsid w:val="0049128D"/>
    <w:rsid w:val="0049697F"/>
    <w:rsid w:val="004C18D5"/>
    <w:rsid w:val="004D0E6A"/>
    <w:rsid w:val="004D34B1"/>
    <w:rsid w:val="004D464C"/>
    <w:rsid w:val="00500E47"/>
    <w:rsid w:val="005061E3"/>
    <w:rsid w:val="00525AE4"/>
    <w:rsid w:val="00543DF1"/>
    <w:rsid w:val="0054784D"/>
    <w:rsid w:val="00551240"/>
    <w:rsid w:val="00551C6D"/>
    <w:rsid w:val="00564A62"/>
    <w:rsid w:val="005720C1"/>
    <w:rsid w:val="0058273C"/>
    <w:rsid w:val="00587950"/>
    <w:rsid w:val="005A20E6"/>
    <w:rsid w:val="005A4D7C"/>
    <w:rsid w:val="005A7E27"/>
    <w:rsid w:val="005C7C9F"/>
    <w:rsid w:val="005E1C24"/>
    <w:rsid w:val="005F5E25"/>
    <w:rsid w:val="00621E89"/>
    <w:rsid w:val="006275C2"/>
    <w:rsid w:val="00627CB6"/>
    <w:rsid w:val="00630760"/>
    <w:rsid w:val="00661F61"/>
    <w:rsid w:val="00667269"/>
    <w:rsid w:val="00674828"/>
    <w:rsid w:val="00682223"/>
    <w:rsid w:val="00685C21"/>
    <w:rsid w:val="006953CB"/>
    <w:rsid w:val="006D3FED"/>
    <w:rsid w:val="006D6388"/>
    <w:rsid w:val="006F3211"/>
    <w:rsid w:val="00711033"/>
    <w:rsid w:val="007171EC"/>
    <w:rsid w:val="007612F0"/>
    <w:rsid w:val="007B244F"/>
    <w:rsid w:val="007B2DFB"/>
    <w:rsid w:val="007B7686"/>
    <w:rsid w:val="007C069C"/>
    <w:rsid w:val="007C085B"/>
    <w:rsid w:val="007C625A"/>
    <w:rsid w:val="007D497B"/>
    <w:rsid w:val="007D7021"/>
    <w:rsid w:val="00805C69"/>
    <w:rsid w:val="0083468C"/>
    <w:rsid w:val="00834F76"/>
    <w:rsid w:val="008445E4"/>
    <w:rsid w:val="008668EF"/>
    <w:rsid w:val="008723FC"/>
    <w:rsid w:val="0088028E"/>
    <w:rsid w:val="00891F72"/>
    <w:rsid w:val="008972F4"/>
    <w:rsid w:val="008C1C1D"/>
    <w:rsid w:val="008D4515"/>
    <w:rsid w:val="008D7EED"/>
    <w:rsid w:val="00900C62"/>
    <w:rsid w:val="00923CE5"/>
    <w:rsid w:val="00923D51"/>
    <w:rsid w:val="00941ECB"/>
    <w:rsid w:val="009636AD"/>
    <w:rsid w:val="00982E76"/>
    <w:rsid w:val="00985753"/>
    <w:rsid w:val="009964C9"/>
    <w:rsid w:val="009A04C4"/>
    <w:rsid w:val="009B1597"/>
    <w:rsid w:val="009C5FA6"/>
    <w:rsid w:val="009E09B2"/>
    <w:rsid w:val="009E268F"/>
    <w:rsid w:val="009F4A03"/>
    <w:rsid w:val="00A1246F"/>
    <w:rsid w:val="00A178D4"/>
    <w:rsid w:val="00A21CDF"/>
    <w:rsid w:val="00A3657D"/>
    <w:rsid w:val="00A85F81"/>
    <w:rsid w:val="00A9549C"/>
    <w:rsid w:val="00AA3AEE"/>
    <w:rsid w:val="00AA5736"/>
    <w:rsid w:val="00AB4B82"/>
    <w:rsid w:val="00AC29B3"/>
    <w:rsid w:val="00AC701E"/>
    <w:rsid w:val="00AC78AC"/>
    <w:rsid w:val="00AE0B19"/>
    <w:rsid w:val="00AE5277"/>
    <w:rsid w:val="00AE75A3"/>
    <w:rsid w:val="00AF0053"/>
    <w:rsid w:val="00AF79B3"/>
    <w:rsid w:val="00B00D02"/>
    <w:rsid w:val="00B21983"/>
    <w:rsid w:val="00B43159"/>
    <w:rsid w:val="00B46F67"/>
    <w:rsid w:val="00B5240D"/>
    <w:rsid w:val="00B52608"/>
    <w:rsid w:val="00B56E27"/>
    <w:rsid w:val="00B62404"/>
    <w:rsid w:val="00B63F4B"/>
    <w:rsid w:val="00B815CD"/>
    <w:rsid w:val="00BA1557"/>
    <w:rsid w:val="00BB1FBA"/>
    <w:rsid w:val="00BC3F65"/>
    <w:rsid w:val="00BD3BAD"/>
    <w:rsid w:val="00BE038A"/>
    <w:rsid w:val="00BF1B92"/>
    <w:rsid w:val="00C1215A"/>
    <w:rsid w:val="00C22005"/>
    <w:rsid w:val="00C25E2E"/>
    <w:rsid w:val="00C32A50"/>
    <w:rsid w:val="00C34140"/>
    <w:rsid w:val="00C434DA"/>
    <w:rsid w:val="00C463FD"/>
    <w:rsid w:val="00C50A8D"/>
    <w:rsid w:val="00C57AF0"/>
    <w:rsid w:val="00C62ADD"/>
    <w:rsid w:val="00C75948"/>
    <w:rsid w:val="00C800FD"/>
    <w:rsid w:val="00C8457C"/>
    <w:rsid w:val="00C92FF1"/>
    <w:rsid w:val="00C93D21"/>
    <w:rsid w:val="00CA41C6"/>
    <w:rsid w:val="00CB057D"/>
    <w:rsid w:val="00CB0984"/>
    <w:rsid w:val="00CB52D5"/>
    <w:rsid w:val="00CD13AA"/>
    <w:rsid w:val="00CE7AB6"/>
    <w:rsid w:val="00D001F5"/>
    <w:rsid w:val="00D23CA8"/>
    <w:rsid w:val="00D25DAA"/>
    <w:rsid w:val="00D30D20"/>
    <w:rsid w:val="00D359E1"/>
    <w:rsid w:val="00D36B74"/>
    <w:rsid w:val="00D55747"/>
    <w:rsid w:val="00D5653C"/>
    <w:rsid w:val="00D56B72"/>
    <w:rsid w:val="00D61797"/>
    <w:rsid w:val="00D6494A"/>
    <w:rsid w:val="00D65E7C"/>
    <w:rsid w:val="00DA2EEB"/>
    <w:rsid w:val="00DA66CD"/>
    <w:rsid w:val="00DB012F"/>
    <w:rsid w:val="00DB0433"/>
    <w:rsid w:val="00DB70B6"/>
    <w:rsid w:val="00DC025E"/>
    <w:rsid w:val="00DD639A"/>
    <w:rsid w:val="00DE6771"/>
    <w:rsid w:val="00DF2A77"/>
    <w:rsid w:val="00E0118C"/>
    <w:rsid w:val="00E04388"/>
    <w:rsid w:val="00E0632B"/>
    <w:rsid w:val="00E2050E"/>
    <w:rsid w:val="00E454F0"/>
    <w:rsid w:val="00E52E0C"/>
    <w:rsid w:val="00E54894"/>
    <w:rsid w:val="00E572A7"/>
    <w:rsid w:val="00E74D08"/>
    <w:rsid w:val="00E850EF"/>
    <w:rsid w:val="00E966F6"/>
    <w:rsid w:val="00EA0F97"/>
    <w:rsid w:val="00EA2674"/>
    <w:rsid w:val="00EB58CE"/>
    <w:rsid w:val="00EB6221"/>
    <w:rsid w:val="00EC4A8F"/>
    <w:rsid w:val="00EC76F8"/>
    <w:rsid w:val="00F03F3B"/>
    <w:rsid w:val="00F13F47"/>
    <w:rsid w:val="00F27E3C"/>
    <w:rsid w:val="00F31519"/>
    <w:rsid w:val="00F33A3A"/>
    <w:rsid w:val="00F42158"/>
    <w:rsid w:val="00F43928"/>
    <w:rsid w:val="00F47CC5"/>
    <w:rsid w:val="00F7013E"/>
    <w:rsid w:val="00F923D6"/>
    <w:rsid w:val="00FA5D31"/>
    <w:rsid w:val="00FA6A84"/>
    <w:rsid w:val="00FC1B35"/>
    <w:rsid w:val="00FD5C04"/>
    <w:rsid w:val="00FD5DC6"/>
    <w:rsid w:val="00FE1087"/>
    <w:rsid w:val="00FE3C6B"/>
    <w:rsid w:val="00FE46E5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3F0973A"/>
  <w15:docId w15:val="{A9D45EA8-F0B2-43B6-9C90-2603D7A0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43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4DA"/>
  </w:style>
  <w:style w:type="paragraph" w:styleId="Footer">
    <w:name w:val="footer"/>
    <w:basedOn w:val="Normal"/>
    <w:link w:val="FooterChar"/>
    <w:uiPriority w:val="99"/>
    <w:semiHidden/>
    <w:unhideWhenUsed/>
    <w:rsid w:val="00C43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34DA"/>
  </w:style>
  <w:style w:type="table" w:customStyle="1" w:styleId="LightShading1">
    <w:name w:val="Light Shading1"/>
    <w:basedOn w:val="TableNormal"/>
    <w:uiPriority w:val="60"/>
    <w:rsid w:val="00C434DA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B244F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E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3.docx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2.docx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Macconaill, Laura  E.,Ph.D.</cp:lastModifiedBy>
  <cp:revision>4</cp:revision>
  <dcterms:created xsi:type="dcterms:W3CDTF">2016-10-03T18:43:00Z</dcterms:created>
  <dcterms:modified xsi:type="dcterms:W3CDTF">2016-10-03T18:46:00Z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