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79CD2" w14:textId="7CEAA80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b/>
          <w:bCs/>
          <w:sz w:val="24"/>
          <w:szCs w:val="24"/>
        </w:rPr>
        <w:t>Title</w:t>
      </w:r>
      <w:r w:rsidRPr="00540EBF">
        <w:rPr>
          <w:rFonts w:ascii="Times New Roman" w:hAnsi="Times New Roman" w:cs="Times New Roman"/>
          <w:sz w:val="24"/>
          <w:szCs w:val="24"/>
        </w:rPr>
        <w:t xml:space="preserve">: A tailored </w:t>
      </w:r>
      <w:r w:rsidRPr="00540EBF">
        <w:rPr>
          <w:rFonts w:ascii="Times New Roman" w:hAnsi="Times New Roman" w:cs="Times New Roman"/>
          <w:i/>
          <w:iCs/>
          <w:sz w:val="24"/>
          <w:szCs w:val="24"/>
        </w:rPr>
        <w:t>in vivo</w:t>
      </w:r>
      <w:r w:rsidRPr="00540EBF">
        <w:rPr>
          <w:rFonts w:ascii="Times New Roman" w:hAnsi="Times New Roman" w:cs="Times New Roman"/>
          <w:sz w:val="24"/>
          <w:szCs w:val="24"/>
        </w:rPr>
        <w:t xml:space="preserve"> CRISPR screen identifies </w:t>
      </w:r>
      <w:r w:rsidRPr="00540EBF">
        <w:rPr>
          <w:rFonts w:ascii="Times New Roman" w:hAnsi="Times New Roman" w:cs="Times New Roman"/>
          <w:i/>
          <w:iCs/>
          <w:sz w:val="24"/>
          <w:szCs w:val="24"/>
        </w:rPr>
        <w:t>BAP1</w:t>
      </w:r>
      <w:r w:rsidRPr="00540EBF">
        <w:rPr>
          <w:rFonts w:ascii="Times New Roman" w:hAnsi="Times New Roman" w:cs="Times New Roman"/>
          <w:sz w:val="24"/>
          <w:szCs w:val="24"/>
        </w:rPr>
        <w:t xml:space="preserve"> as potent tumor suppressors of</w:t>
      </w:r>
      <w:r w:rsidR="007E20C1">
        <w:rPr>
          <w:rFonts w:ascii="Times New Roman" w:hAnsi="Times New Roman" w:cs="Times New Roman"/>
          <w:sz w:val="24"/>
          <w:szCs w:val="24"/>
        </w:rPr>
        <w:t xml:space="preserve"> </w:t>
      </w:r>
      <w:r w:rsidRPr="00540EBF">
        <w:rPr>
          <w:rFonts w:ascii="Times New Roman" w:hAnsi="Times New Roman" w:cs="Times New Roman"/>
          <w:sz w:val="24"/>
          <w:szCs w:val="24"/>
        </w:rPr>
        <w:t>sarcoma</w:t>
      </w:r>
    </w:p>
    <w:p w14:paraId="5927FFED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E92068E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b/>
          <w:bCs/>
          <w:sz w:val="24"/>
          <w:szCs w:val="24"/>
        </w:rPr>
        <w:t>Authorship</w:t>
      </w:r>
      <w:r w:rsidRPr="00540EBF">
        <w:rPr>
          <w:rFonts w:ascii="Times New Roman" w:hAnsi="Times New Roman" w:cs="Times New Roman"/>
          <w:sz w:val="24"/>
          <w:szCs w:val="24"/>
        </w:rPr>
        <w:t xml:space="preserve">: Jianguo Huang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 w:rsidRPr="00540E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0EBF">
        <w:rPr>
          <w:rFonts w:ascii="Times New Roman" w:hAnsi="Times New Roman" w:cs="Times New Roman"/>
          <w:sz w:val="24"/>
          <w:szCs w:val="24"/>
        </w:rPr>
        <w:t>Xingliang</w:t>
      </w:r>
      <w:proofErr w:type="spellEnd"/>
      <w:r w:rsidRPr="00540EBF">
        <w:rPr>
          <w:rFonts w:ascii="Times New Roman" w:hAnsi="Times New Roman" w:cs="Times New Roman"/>
          <w:sz w:val="24"/>
          <w:szCs w:val="24"/>
        </w:rPr>
        <w:t xml:space="preserve"> Liu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0EBF">
        <w:rPr>
          <w:rFonts w:ascii="Times New Roman" w:hAnsi="Times New Roman" w:cs="Times New Roman"/>
          <w:sz w:val="24"/>
          <w:szCs w:val="24"/>
        </w:rPr>
        <w:t xml:space="preserve">, Warren Floyd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2#</w:t>
      </w:r>
      <w:r w:rsidRPr="00540EBF">
        <w:rPr>
          <w:rFonts w:ascii="Times New Roman" w:hAnsi="Times New Roman" w:cs="Times New Roman"/>
          <w:sz w:val="24"/>
          <w:szCs w:val="24"/>
        </w:rPr>
        <w:t xml:space="preserve">, William Haugh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0EBF">
        <w:rPr>
          <w:rFonts w:ascii="Times New Roman" w:hAnsi="Times New Roman" w:cs="Times New Roman"/>
          <w:sz w:val="24"/>
          <w:szCs w:val="24"/>
        </w:rPr>
        <w:t xml:space="preserve">, Zhaoyu Sun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0EBF">
        <w:rPr>
          <w:rFonts w:ascii="Times New Roman" w:hAnsi="Times New Roman" w:cs="Times New Roman"/>
          <w:sz w:val="24"/>
          <w:szCs w:val="24"/>
        </w:rPr>
        <w:t xml:space="preserve">, Melissa J. Kasiewicz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0EBF">
        <w:rPr>
          <w:rFonts w:ascii="Times New Roman" w:hAnsi="Times New Roman" w:cs="Times New Roman"/>
          <w:sz w:val="24"/>
          <w:szCs w:val="24"/>
        </w:rPr>
        <w:t>,</w:t>
      </w:r>
      <w:r w:rsidRPr="00540EB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40EBF">
        <w:rPr>
          <w:rFonts w:ascii="Times New Roman" w:hAnsi="Times New Roman" w:cs="Times New Roman"/>
          <w:sz w:val="24"/>
          <w:szCs w:val="24"/>
        </w:rPr>
        <w:t xml:space="preserve">Yaping Wu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0EBF">
        <w:rPr>
          <w:rFonts w:ascii="Times New Roman" w:hAnsi="Times New Roman" w:cs="Times New Roman"/>
          <w:sz w:val="24"/>
          <w:szCs w:val="24"/>
        </w:rPr>
        <w:t xml:space="preserve">, Brian Piening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0EBF">
        <w:rPr>
          <w:rFonts w:ascii="Times New Roman" w:hAnsi="Times New Roman" w:cs="Times New Roman"/>
          <w:sz w:val="24"/>
          <w:szCs w:val="24"/>
        </w:rPr>
        <w:t xml:space="preserve">, John T. Welle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0EBF">
        <w:rPr>
          <w:rFonts w:ascii="Times New Roman" w:hAnsi="Times New Roman" w:cs="Times New Roman"/>
          <w:sz w:val="24"/>
          <w:szCs w:val="24"/>
        </w:rPr>
        <w:t>, Wesley K. Rosales</w:t>
      </w:r>
      <w:r w:rsidRPr="00540EB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0EBF">
        <w:rPr>
          <w:rFonts w:ascii="Times New Roman" w:hAnsi="Times New Roman" w:cs="Times New Roman"/>
          <w:sz w:val="24"/>
          <w:szCs w:val="24"/>
        </w:rPr>
        <w:t xml:space="preserve">, Venkatesh Rajamanickam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0EBF">
        <w:rPr>
          <w:rFonts w:ascii="Times New Roman" w:hAnsi="Times New Roman" w:cs="Times New Roman"/>
          <w:sz w:val="24"/>
          <w:szCs w:val="24"/>
        </w:rPr>
        <w:t xml:space="preserve">, So Young Kim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40EBF">
        <w:rPr>
          <w:rFonts w:ascii="Times New Roman" w:hAnsi="Times New Roman" w:cs="Times New Roman"/>
          <w:sz w:val="24"/>
          <w:szCs w:val="24"/>
        </w:rPr>
        <w:t xml:space="preserve">, Eric Xu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40EBF">
        <w:rPr>
          <w:rFonts w:ascii="Times New Roman" w:hAnsi="Times New Roman" w:cs="Times New Roman"/>
          <w:sz w:val="24"/>
          <w:szCs w:val="24"/>
        </w:rPr>
        <w:t xml:space="preserve">, Lixia Luo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40EBF">
        <w:rPr>
          <w:rFonts w:ascii="Times New Roman" w:hAnsi="Times New Roman" w:cs="Times New Roman"/>
          <w:sz w:val="24"/>
          <w:szCs w:val="24"/>
        </w:rPr>
        <w:t xml:space="preserve">, Yan Ma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40EBF">
        <w:rPr>
          <w:rFonts w:ascii="Times New Roman" w:hAnsi="Times New Roman" w:cs="Times New Roman"/>
          <w:sz w:val="24"/>
          <w:szCs w:val="24"/>
        </w:rPr>
        <w:t xml:space="preserve">, Rutulkumar Patel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2$</w:t>
      </w:r>
      <w:r w:rsidRPr="00540EBF">
        <w:rPr>
          <w:rFonts w:ascii="Times New Roman" w:hAnsi="Times New Roman" w:cs="Times New Roman"/>
          <w:sz w:val="24"/>
          <w:szCs w:val="24"/>
        </w:rPr>
        <w:t xml:space="preserve">, Ziqiang Zhang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540EBF">
        <w:rPr>
          <w:rFonts w:ascii="Times New Roman" w:hAnsi="Times New Roman" w:cs="Times New Roman"/>
          <w:sz w:val="24"/>
          <w:szCs w:val="24"/>
        </w:rPr>
        <w:t xml:space="preserve">, Brady Bernard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0EBF">
        <w:rPr>
          <w:rFonts w:ascii="Times New Roman" w:hAnsi="Times New Roman" w:cs="Times New Roman"/>
          <w:sz w:val="24"/>
          <w:szCs w:val="24"/>
        </w:rPr>
        <w:t xml:space="preserve">, William L. Redmond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0EBF">
        <w:rPr>
          <w:rFonts w:ascii="Times New Roman" w:hAnsi="Times New Roman" w:cs="Times New Roman"/>
          <w:sz w:val="24"/>
          <w:szCs w:val="24"/>
        </w:rPr>
        <w:t xml:space="preserve">, Walter J. Urba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0EBF">
        <w:rPr>
          <w:rFonts w:ascii="Times New Roman" w:hAnsi="Times New Roman" w:cs="Times New Roman"/>
          <w:sz w:val="24"/>
          <w:szCs w:val="24"/>
        </w:rPr>
        <w:t xml:space="preserve">, R Bryan Bell, David G. Kirsch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2,5,6,7,8*</w:t>
      </w:r>
    </w:p>
    <w:p w14:paraId="73125F28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2D97F30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540EBF">
        <w:rPr>
          <w:rFonts w:ascii="Times New Roman" w:hAnsi="Times New Roman" w:cs="Times New Roman"/>
          <w:sz w:val="24"/>
          <w:szCs w:val="24"/>
        </w:rPr>
        <w:t xml:space="preserve"> Equal contribution, co-corresponding authors</w:t>
      </w:r>
    </w:p>
    <w:p w14:paraId="0CF11F72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9500513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0EBF">
        <w:rPr>
          <w:rFonts w:ascii="Times New Roman" w:hAnsi="Times New Roman" w:cs="Times New Roman"/>
          <w:sz w:val="24"/>
          <w:szCs w:val="24"/>
        </w:rPr>
        <w:t xml:space="preserve"> Earle A. Chiles Research Institute, Providence Cancer Institute, Portland, OR 97213</w:t>
      </w:r>
    </w:p>
    <w:p w14:paraId="2DDF6745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E8992D6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540EBF">
        <w:rPr>
          <w:rFonts w:ascii="Times New Roman" w:hAnsi="Times New Roman" w:cs="Times New Roman"/>
          <w:sz w:val="24"/>
          <w:szCs w:val="24"/>
        </w:rPr>
        <w:t>Department of Radiation Oncology, Duke University Medical Center, Durham, NC 27710</w:t>
      </w:r>
    </w:p>
    <w:p w14:paraId="2ED3149A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2CA3155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40EBF">
        <w:rPr>
          <w:rFonts w:ascii="Times New Roman" w:hAnsi="Times New Roman" w:cs="Times New Roman"/>
          <w:sz w:val="24"/>
          <w:szCs w:val="24"/>
        </w:rPr>
        <w:t xml:space="preserve"> Department of Molecular Genetics and Microbiology, Duke University, Durham, NC 27710</w:t>
      </w:r>
    </w:p>
    <w:p w14:paraId="51D37E77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9A78D59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540EBF">
        <w:rPr>
          <w:rFonts w:ascii="Times New Roman" w:hAnsi="Times New Roman" w:cs="Times New Roman"/>
          <w:sz w:val="24"/>
          <w:szCs w:val="24"/>
        </w:rPr>
        <w:t xml:space="preserve"> Department of Respiratory and Critical Care Medicine, Shanghai Pudong Hospital, Fudan University Pudong Medical Center, Pudong Hospital of Fudan University, Shanghai, China</w:t>
      </w:r>
      <w:r w:rsidRPr="00540EBF" w:rsidDel="00D868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E65B4F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F49C694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540EBF">
        <w:rPr>
          <w:rFonts w:ascii="Times New Roman" w:hAnsi="Times New Roman" w:cs="Times New Roman"/>
          <w:sz w:val="24"/>
          <w:szCs w:val="24"/>
        </w:rPr>
        <w:t xml:space="preserve"> Department of Pharmacology and Cancer Biology, Duke University Medical Center, Durham, </w:t>
      </w:r>
    </w:p>
    <w:p w14:paraId="4C5416B9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</w:rPr>
        <w:t>NC 27710</w:t>
      </w:r>
    </w:p>
    <w:p w14:paraId="50F893E5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B4E861D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6</w:t>
      </w:r>
      <w:r w:rsidRPr="00540EBF">
        <w:rPr>
          <w:rFonts w:ascii="Times New Roman" w:hAnsi="Times New Roman" w:cs="Times New Roman"/>
          <w:sz w:val="24"/>
          <w:szCs w:val="24"/>
        </w:rPr>
        <w:t xml:space="preserve"> Radiation Medicine Program, Princess Margaret Cancer Center, University Health Network, Toronto, ON, Canada</w:t>
      </w:r>
    </w:p>
    <w:p w14:paraId="3E7C0324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691589E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540EBF">
        <w:rPr>
          <w:rFonts w:ascii="Times New Roman" w:hAnsi="Times New Roman" w:cs="Times New Roman"/>
          <w:sz w:val="24"/>
          <w:szCs w:val="24"/>
        </w:rPr>
        <w:t xml:space="preserve"> Department of Radiation Oncology, University of Toronto, Toronto, ON, Canada</w:t>
      </w:r>
    </w:p>
    <w:p w14:paraId="01016564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D9B6573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540EBF">
        <w:rPr>
          <w:rFonts w:ascii="Times New Roman" w:hAnsi="Times New Roman" w:cs="Times New Roman"/>
          <w:sz w:val="24"/>
          <w:szCs w:val="24"/>
        </w:rPr>
        <w:t xml:space="preserve"> Department of Medical Biophysics, University of Toronto, Toronto, ON, Canada</w:t>
      </w:r>
    </w:p>
    <w:p w14:paraId="3D8FC87E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00B5557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540EBF">
        <w:rPr>
          <w:rFonts w:ascii="Times New Roman" w:hAnsi="Times New Roman" w:cs="Times New Roman"/>
          <w:sz w:val="24"/>
          <w:szCs w:val="24"/>
        </w:rPr>
        <w:t xml:space="preserve"> Current position: Division of Radiation Oncology, University of Texas MD Anderson Cancer Center, Houston, TX 77030</w:t>
      </w:r>
    </w:p>
    <w:p w14:paraId="5DD5B861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B0F4FE8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$</w:t>
      </w:r>
      <w:r w:rsidRPr="00540EBF">
        <w:rPr>
          <w:rFonts w:ascii="Times New Roman" w:hAnsi="Times New Roman" w:cs="Times New Roman"/>
          <w:sz w:val="24"/>
          <w:szCs w:val="24"/>
        </w:rPr>
        <w:t xml:space="preserve"> Department of Radiation Oncology, Baylor College of Medicine, Houston, TX 77030</w:t>
      </w:r>
    </w:p>
    <w:p w14:paraId="45795BFC" w14:textId="77777777" w:rsidR="00DA59C2" w:rsidRPr="00540EBF" w:rsidRDefault="00DA59C2" w:rsidP="00DA59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04F4FF7" w14:textId="3504F834" w:rsidR="00DA59C2" w:rsidRPr="00540EBF" w:rsidRDefault="00DA59C2" w:rsidP="00DA59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 xml:space="preserve">* </w:t>
      </w:r>
      <w:r w:rsidRPr="00540EBF">
        <w:rPr>
          <w:rFonts w:ascii="Times New Roman" w:hAnsi="Times New Roman" w:cs="Times New Roman"/>
          <w:sz w:val="24"/>
          <w:szCs w:val="24"/>
        </w:rPr>
        <w:t xml:space="preserve">Corresponding authors: Jianguo Huang, Earle A. Chiles Research Institute, Providence Cancer Institute, Portland, OR 97213 (Email: Jianguo.huang@providence.org), and David G. Kirsch, Department of Radiation Oncology, Radiation Medicine Program, University of Toronto, Princess Margaret Cancer Center, Toronto, ON, Canada (Email: </w:t>
      </w:r>
      <w:hyperlink r:id="rId4" w:history="1">
        <w:r w:rsidRPr="00540EBF">
          <w:rPr>
            <w:rStyle w:val="Hyperlink"/>
            <w:rFonts w:ascii="Times New Roman" w:hAnsi="Times New Roman" w:cs="Times New Roman"/>
            <w:sz w:val="24"/>
            <w:szCs w:val="24"/>
          </w:rPr>
          <w:t>david.kirsch@uhn.ca</w:t>
        </w:r>
      </w:hyperlink>
      <w:r w:rsidRPr="00540EBF">
        <w:rPr>
          <w:rFonts w:ascii="Times New Roman" w:hAnsi="Times New Roman" w:cs="Times New Roman"/>
          <w:sz w:val="24"/>
          <w:szCs w:val="24"/>
        </w:rPr>
        <w:t>)</w:t>
      </w:r>
    </w:p>
    <w:p w14:paraId="6ACFAD21" w14:textId="77777777" w:rsidR="00DA59C2" w:rsidRPr="00540EBF" w:rsidRDefault="00DA59C2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</w:rPr>
        <w:br w:type="page"/>
      </w:r>
    </w:p>
    <w:p w14:paraId="74D75AE3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1</w:t>
      </w:r>
      <w:r w:rsidRPr="00540EBF">
        <w:rPr>
          <w:rFonts w:ascii="Times New Roman" w:hAnsi="Times New Roman" w:cs="Times New Roman"/>
          <w:sz w:val="24"/>
          <w:szCs w:val="24"/>
        </w:rPr>
        <w:t>. Copy numbers of each sgRNA in the three libraries by sequencing.</w:t>
      </w:r>
    </w:p>
    <w:p w14:paraId="04C6BBC4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1E0713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5B54F7" wp14:editId="56D77559">
            <wp:extent cx="4227616" cy="5663295"/>
            <wp:effectExtent l="0" t="0" r="1905" b="0"/>
            <wp:docPr id="8891603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156" cy="567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23892" w14:textId="77777777" w:rsidR="003F2058" w:rsidRPr="00540EBF" w:rsidRDefault="003F2058" w:rsidP="003F2058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</w:rPr>
        <w:br w:type="page"/>
      </w:r>
    </w:p>
    <w:p w14:paraId="0E411C9F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40EBF">
        <w:rPr>
          <w:rFonts w:ascii="Times New Roman" w:hAnsi="Times New Roman" w:cs="Times New Roman"/>
          <w:sz w:val="24"/>
          <w:szCs w:val="24"/>
        </w:rPr>
        <w:t xml:space="preserve">. Tumor free survival in Rosa26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LoxP-Cas9/+</w:t>
      </w:r>
      <w:r w:rsidRPr="00540EBF">
        <w:rPr>
          <w:rFonts w:ascii="Times New Roman" w:hAnsi="Times New Roman" w:cs="Times New Roman"/>
          <w:sz w:val="24"/>
          <w:szCs w:val="24"/>
        </w:rPr>
        <w:t xml:space="preserve"> mice following IVE delivery of three different libraries. 5 mice per group.</w:t>
      </w:r>
    </w:p>
    <w:p w14:paraId="72F3C298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7D4253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BDCDA5" wp14:editId="26C962F4">
            <wp:extent cx="5135898" cy="2583180"/>
            <wp:effectExtent l="0" t="0" r="0" b="0"/>
            <wp:docPr id="19648878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87884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98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61C6E" w14:textId="77777777" w:rsidR="003F2058" w:rsidRPr="00540EBF" w:rsidRDefault="003F2058" w:rsidP="003F2058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</w:rPr>
        <w:br w:type="page"/>
      </w:r>
    </w:p>
    <w:p w14:paraId="345D7D3B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40EBF">
        <w:rPr>
          <w:rFonts w:ascii="Times New Roman" w:hAnsi="Times New Roman" w:cs="Times New Roman"/>
          <w:sz w:val="24"/>
          <w:szCs w:val="24"/>
        </w:rPr>
        <w:t xml:space="preserve">. (A) The Rosa26 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 xml:space="preserve">LoxP-Cas9/LoxP-Cas9 </w:t>
      </w:r>
      <w:r w:rsidRPr="00540EBF">
        <w:rPr>
          <w:rFonts w:ascii="Times New Roman" w:hAnsi="Times New Roman" w:cs="Times New Roman"/>
          <w:sz w:val="24"/>
          <w:szCs w:val="24"/>
        </w:rPr>
        <w:t>mice were intramuscularly injected (IVE) with 50 µg of mixed plasmids containing px333-Trp53-Pten sgRNAs and the px334-Trp53 sgRNA-library at a 1-1 ratio.</w:t>
      </w:r>
    </w:p>
    <w:p w14:paraId="019A0F0A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3F9481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30D03D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EB52DF" wp14:editId="32D71E83">
            <wp:extent cx="5160010" cy="2557146"/>
            <wp:effectExtent l="0" t="0" r="0" b="0"/>
            <wp:docPr id="11451306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130661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25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17C0E" w14:textId="77777777" w:rsidR="003F2058" w:rsidRPr="00540EBF" w:rsidRDefault="003F2058" w:rsidP="003F2058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</w:rPr>
        <w:br w:type="page"/>
      </w:r>
    </w:p>
    <w:p w14:paraId="0AF0F69D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40EBF">
        <w:rPr>
          <w:rFonts w:ascii="Times New Roman" w:hAnsi="Times New Roman" w:cs="Times New Roman"/>
          <w:sz w:val="24"/>
          <w:szCs w:val="24"/>
        </w:rPr>
        <w:t xml:space="preserve">. (A) T7EI assay was performed to detect Indels in tumor DNAs induced by the px334-Trp53 sgRNA-library. (B) Sanger sequencing with Inference of CRISPR Edits (ICE) analysis was used to calculate the percentage of Indels in tumor S1 induced by the </w:t>
      </w:r>
      <w:bookmarkStart w:id="0" w:name="OLE_LINK1"/>
      <w:r w:rsidRPr="00540EBF">
        <w:rPr>
          <w:rFonts w:ascii="Times New Roman" w:hAnsi="Times New Roman" w:cs="Times New Roman"/>
          <w:sz w:val="24"/>
          <w:szCs w:val="24"/>
        </w:rPr>
        <w:t>pX334-Trp53 sgRNA-library</w:t>
      </w:r>
      <w:bookmarkEnd w:id="0"/>
      <w:r w:rsidRPr="00540EBF">
        <w:rPr>
          <w:rFonts w:ascii="Times New Roman" w:hAnsi="Times New Roman" w:cs="Times New Roman"/>
          <w:sz w:val="24"/>
          <w:szCs w:val="24"/>
        </w:rPr>
        <w:t>. (C) Next generation sequencing analysis was used to calculate the percentage of Indels in tumor S7, S11, and S13 induced by the pX334-Trp53 sgRNA-library.</w:t>
      </w:r>
    </w:p>
    <w:p w14:paraId="59318A20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01BA57D8" wp14:editId="75646025">
            <wp:extent cx="6046407" cy="6792627"/>
            <wp:effectExtent l="0" t="0" r="0" b="8255"/>
            <wp:docPr id="12579686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6869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407" cy="679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CC417" w14:textId="77777777" w:rsidR="003F2058" w:rsidRPr="00540EBF" w:rsidRDefault="003F2058" w:rsidP="003F2058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</w:rPr>
        <w:br w:type="page"/>
      </w:r>
    </w:p>
    <w:p w14:paraId="1F4B97B9" w14:textId="77777777" w:rsidR="003F2058" w:rsidRPr="00540EBF" w:rsidRDefault="003F2058" w:rsidP="003F2058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540EBF">
        <w:rPr>
          <w:rFonts w:ascii="Times New Roman" w:hAnsi="Times New Roman" w:cs="Times New Roman"/>
          <w:sz w:val="24"/>
          <w:szCs w:val="24"/>
        </w:rPr>
        <w:t>. No tumors were detected in mice IVE of plasmids containing either Trp53-Mllt3 sgRNAs, Trp53-Crebbp sgRNAs, Trp53-Pbrm1 sgRNAs, Trp53-Cysltr2, Trp53-Mst1r, or Trp53-Fat1 sgRNAs.</w:t>
      </w:r>
    </w:p>
    <w:p w14:paraId="3208673B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6CFFCE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9E2C3E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F6503C" wp14:editId="70AB4434">
            <wp:extent cx="5118433" cy="2591150"/>
            <wp:effectExtent l="0" t="0" r="0" b="0"/>
            <wp:docPr id="328926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26174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433" cy="25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3F61" w14:textId="77777777" w:rsidR="003F2058" w:rsidRPr="00540EBF" w:rsidRDefault="003F2058" w:rsidP="003F2058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</w:rPr>
        <w:br w:type="page"/>
      </w:r>
    </w:p>
    <w:p w14:paraId="69D06BFD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540EBF">
        <w:rPr>
          <w:rFonts w:ascii="Times New Roman" w:hAnsi="Times New Roman" w:cs="Times New Roman"/>
          <w:sz w:val="24"/>
          <w:szCs w:val="24"/>
        </w:rPr>
        <w:t xml:space="preserve">. H&amp;E staining of mouse tumors driven by various gene mutations shows that these tumors are </w:t>
      </w:r>
      <w:proofErr w:type="gramStart"/>
      <w:r w:rsidRPr="00540EBF">
        <w:rPr>
          <w:rFonts w:ascii="Times New Roman" w:hAnsi="Times New Roman" w:cs="Times New Roman"/>
          <w:sz w:val="24"/>
          <w:szCs w:val="24"/>
        </w:rPr>
        <w:t>similar to</w:t>
      </w:r>
      <w:proofErr w:type="gramEnd"/>
      <w:r w:rsidRPr="00540EBF">
        <w:rPr>
          <w:rFonts w:ascii="Times New Roman" w:hAnsi="Times New Roman" w:cs="Times New Roman"/>
          <w:sz w:val="24"/>
          <w:szCs w:val="24"/>
        </w:rPr>
        <w:t xml:space="preserve"> each other. Scale bar = 50 µm.</w:t>
      </w:r>
    </w:p>
    <w:p w14:paraId="7BCBBD92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34831F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77E4A4" wp14:editId="088B5820">
            <wp:extent cx="5290184" cy="3571022"/>
            <wp:effectExtent l="0" t="0" r="6350" b="0"/>
            <wp:docPr id="20373546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35466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4" cy="357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72A7B" w14:textId="77777777" w:rsidR="003F2058" w:rsidRPr="00540EBF" w:rsidRDefault="003F2058" w:rsidP="003F2058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</w:rPr>
        <w:br w:type="page"/>
      </w:r>
    </w:p>
    <w:p w14:paraId="194591F1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540EBF">
        <w:rPr>
          <w:rFonts w:ascii="Times New Roman" w:hAnsi="Times New Roman" w:cs="Times New Roman"/>
          <w:sz w:val="24"/>
          <w:szCs w:val="24"/>
        </w:rPr>
        <w:t xml:space="preserve">. Immunohistochemistry with CD68 in various mouse </w:t>
      </w:r>
      <w:proofErr w:type="gramStart"/>
      <w:r w:rsidRPr="00540EBF">
        <w:rPr>
          <w:rFonts w:ascii="Times New Roman" w:hAnsi="Times New Roman" w:cs="Times New Roman"/>
          <w:sz w:val="24"/>
          <w:szCs w:val="24"/>
        </w:rPr>
        <w:t>sarcoma tissue</w:t>
      </w:r>
      <w:proofErr w:type="gramEnd"/>
      <w:r w:rsidRPr="00540EBF">
        <w:rPr>
          <w:rFonts w:ascii="Times New Roman" w:hAnsi="Times New Roman" w:cs="Times New Roman"/>
          <w:sz w:val="24"/>
          <w:szCs w:val="24"/>
        </w:rPr>
        <w:t xml:space="preserve"> sections showed abundant CD68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540EBF">
        <w:rPr>
          <w:rFonts w:ascii="Times New Roman" w:hAnsi="Times New Roman" w:cs="Times New Roman"/>
          <w:sz w:val="24"/>
          <w:szCs w:val="24"/>
        </w:rPr>
        <w:t xml:space="preserve"> macrophages in the tumor. Scale bar = 100 µm.</w:t>
      </w:r>
    </w:p>
    <w:p w14:paraId="1CFC9B8D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E83143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C07081" wp14:editId="45A8FD7F">
            <wp:extent cx="2926113" cy="1092835"/>
            <wp:effectExtent l="0" t="0" r="7620" b="0"/>
            <wp:docPr id="8678540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54001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13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6A44A" w14:textId="77777777" w:rsidR="003F2058" w:rsidRPr="00540EBF" w:rsidRDefault="003F2058" w:rsidP="003F2058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</w:rPr>
        <w:br w:type="page"/>
      </w:r>
    </w:p>
    <w:p w14:paraId="70C999A0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540EBF">
        <w:rPr>
          <w:rFonts w:ascii="Times New Roman" w:hAnsi="Times New Roman" w:cs="Times New Roman"/>
          <w:sz w:val="24"/>
          <w:szCs w:val="24"/>
        </w:rPr>
        <w:t xml:space="preserve">. (A) FC showed that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540EBF">
        <w:rPr>
          <w:rFonts w:ascii="Times New Roman" w:hAnsi="Times New Roman" w:cs="Times New Roman"/>
          <w:sz w:val="24"/>
          <w:szCs w:val="24"/>
        </w:rPr>
        <w:t>here are no differences in the percentage of PD-1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540EBF">
        <w:rPr>
          <w:rFonts w:ascii="Times New Roman" w:hAnsi="Times New Roman" w:cs="Times New Roman"/>
          <w:sz w:val="24"/>
          <w:szCs w:val="24"/>
        </w:rPr>
        <w:t>CD8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540EBF">
        <w:rPr>
          <w:rFonts w:ascii="Times New Roman" w:hAnsi="Times New Roman" w:cs="Times New Roman"/>
          <w:sz w:val="24"/>
          <w:szCs w:val="24"/>
        </w:rPr>
        <w:t xml:space="preserve"> T cells between PR CRISPR large, PB CRISPR large and small tumors.</w:t>
      </w:r>
    </w:p>
    <w:p w14:paraId="01177ACD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CEBEB2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7F11DBE8" wp14:editId="673ED62C">
            <wp:extent cx="5474219" cy="3075438"/>
            <wp:effectExtent l="0" t="0" r="0" b="0"/>
            <wp:docPr id="1725669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669713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219" cy="307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6A3A9" w14:textId="77777777" w:rsidR="003F2058" w:rsidRPr="00540EBF" w:rsidRDefault="003F2058" w:rsidP="003F2058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</w:rPr>
        <w:br w:type="page"/>
      </w:r>
    </w:p>
    <w:p w14:paraId="3C71461D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540EBF">
        <w:rPr>
          <w:rFonts w:ascii="Times New Roman" w:hAnsi="Times New Roman" w:cs="Times New Roman"/>
          <w:sz w:val="24"/>
          <w:szCs w:val="24"/>
        </w:rPr>
        <w:t>. (A) There are no differences in the percentage of CD11b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540EBF">
        <w:rPr>
          <w:rFonts w:ascii="Times New Roman" w:hAnsi="Times New Roman" w:cs="Times New Roman"/>
          <w:sz w:val="24"/>
          <w:szCs w:val="24"/>
        </w:rPr>
        <w:t xml:space="preserve"> cells between PR CRISPR large, and PB CRISPR large tumors. However, the percentage of CD11b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540EBF">
        <w:rPr>
          <w:rFonts w:ascii="Times New Roman" w:hAnsi="Times New Roman" w:cs="Times New Roman"/>
          <w:sz w:val="24"/>
          <w:szCs w:val="24"/>
        </w:rPr>
        <w:t xml:space="preserve"> cells is significantly lower in PB CRISPR early tumors compared to PB CRISPR large tumors. (B) Flow cytometry gating strategy to identify PMN-MDSCs, M-MDSCs, and TAMs.</w:t>
      </w:r>
      <w:r>
        <w:rPr>
          <w:rFonts w:ascii="Times New Roman" w:hAnsi="Times New Roman" w:cs="Times New Roman"/>
          <w:sz w:val="24"/>
          <w:szCs w:val="24"/>
        </w:rPr>
        <w:t xml:space="preserve"> (C) There are no differences in the percentage of </w:t>
      </w:r>
      <w:r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PMN-MDSCs, M-MDSCs, or </w:t>
      </w:r>
      <w:r>
        <w:rPr>
          <w:rFonts w:ascii="Times New Roman" w:hAnsi="Times New Roman" w:cs="Times New Roman"/>
          <w:sz w:val="24"/>
          <w:szCs w:val="24"/>
        </w:rPr>
        <w:t xml:space="preserve">TAMs </w:t>
      </w:r>
      <w:r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between </w:t>
      </w:r>
      <w:r>
        <w:rPr>
          <w:rFonts w:ascii="Times New Roman" w:hAnsi="Times New Roman" w:cs="Times New Roman"/>
          <w:sz w:val="24"/>
          <w:szCs w:val="24"/>
        </w:rPr>
        <w:t>PB CRISPR large</w:t>
      </w:r>
      <w:r w:rsidDel="00137F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small tumors. (D) There is </w:t>
      </w:r>
      <w:r>
        <w:rPr>
          <w:rFonts w:ascii="Times New Roman" w:eastAsia="Arial" w:hAnsi="Times New Roman" w:cs="Times New Roman"/>
          <w:bCs/>
          <w:color w:val="000000"/>
          <w:sz w:val="24"/>
          <w:szCs w:val="24"/>
        </w:rPr>
        <w:t>a significantly low percentage of PD-L1</w:t>
      </w:r>
      <w:r w:rsidRPr="00DD1A10">
        <w:rPr>
          <w:rFonts w:ascii="Times New Roman" w:eastAsia="Arial" w:hAnsi="Times New Roman" w:cs="Times New Roman"/>
          <w:bCs/>
          <w:color w:val="000000"/>
          <w:sz w:val="24"/>
          <w:szCs w:val="24"/>
          <w:vertAlign w:val="superscript"/>
        </w:rPr>
        <w:t>+</w:t>
      </w:r>
      <w:r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M-MDSCs in PRB Cre/CRISPR tumors compared to PR Cre tumors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09B9775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0E43F0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56F873" wp14:editId="25865063">
            <wp:extent cx="5854700" cy="5871054"/>
            <wp:effectExtent l="0" t="0" r="0" b="0"/>
            <wp:docPr id="12596418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64186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0" r="23938" b="-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565" cy="588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11F42" w14:textId="77777777" w:rsidR="003F2058" w:rsidRPr="00540EBF" w:rsidRDefault="003F2058" w:rsidP="003F2058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</w:rPr>
        <w:br w:type="page"/>
      </w:r>
    </w:p>
    <w:p w14:paraId="75291558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1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540EBF">
        <w:rPr>
          <w:rFonts w:ascii="Times New Roman" w:hAnsi="Times New Roman" w:cs="Times New Roman"/>
          <w:sz w:val="24"/>
          <w:szCs w:val="24"/>
        </w:rPr>
        <w:t>. (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40EBF">
        <w:rPr>
          <w:rFonts w:ascii="Times New Roman" w:hAnsi="Times New Roman" w:cs="Times New Roman"/>
          <w:sz w:val="24"/>
          <w:szCs w:val="24"/>
        </w:rPr>
        <w:t>) Western blot analysis to determine the knockout of Trp53 and Rb1 in PR cell lines. (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540EBF">
        <w:rPr>
          <w:rFonts w:ascii="Times New Roman" w:hAnsi="Times New Roman" w:cs="Times New Roman"/>
          <w:sz w:val="24"/>
          <w:szCs w:val="24"/>
        </w:rPr>
        <w:t xml:space="preserve">) Western blot analysis to determine the knockout of Trp53 and Bap1 in PB cell lines. </w:t>
      </w:r>
    </w:p>
    <w:p w14:paraId="4424C02A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ECD403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8E5F3E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E8936E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C69C11" wp14:editId="3DCC7204">
            <wp:extent cx="4200720" cy="1650364"/>
            <wp:effectExtent l="0" t="0" r="0" b="7620"/>
            <wp:docPr id="12548708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70895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720" cy="165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CCEDC" w14:textId="77777777" w:rsidR="003F2058" w:rsidRDefault="003F2058" w:rsidP="003F2058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</w:rPr>
        <w:br w:type="page"/>
      </w:r>
      <w:r w:rsidRPr="00540EBF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1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40EB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(A) Both PR and PB mouse sarcoma cells are sensitive to two PARP inhibitors, niraparib and talazoparib, in a dose-dependent manner in vitro. (B) Niraparib significantly slows PR sarcoma growth in subcutaneous nude mice, while niraparib has no impact on PB sarcoma growth in subcutaneous nude mice. 5 mice in each group.</w:t>
      </w:r>
    </w:p>
    <w:p w14:paraId="224896FB" w14:textId="77777777" w:rsidR="003F2058" w:rsidRDefault="003F2058" w:rsidP="003F2058">
      <w:pPr>
        <w:spacing w:line="278" w:lineRule="auto"/>
        <w:rPr>
          <w:rFonts w:ascii="Times New Roman" w:hAnsi="Times New Roman" w:cs="Times New Roman"/>
          <w:sz w:val="24"/>
          <w:szCs w:val="24"/>
        </w:rPr>
      </w:pPr>
    </w:p>
    <w:p w14:paraId="55D4D27B" w14:textId="77777777" w:rsidR="003F2058" w:rsidRDefault="003F2058" w:rsidP="003F2058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60FAEDC5" wp14:editId="158079E8">
            <wp:extent cx="5943600" cy="3776980"/>
            <wp:effectExtent l="0" t="0" r="0" b="0"/>
            <wp:docPr id="125466791" name="Picture 2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6791" name="Picture 2" descr="A screenshot of a video gam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B9478" w14:textId="77777777" w:rsidR="003F2058" w:rsidRDefault="003F2058" w:rsidP="003F2058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9BACFD" w14:textId="77777777" w:rsidR="003F2058" w:rsidRDefault="003F2058" w:rsidP="003F2058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1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40E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0EBF">
        <w:rPr>
          <w:rFonts w:ascii="Times New Roman" w:hAnsi="Times New Roman" w:cs="Times New Roman"/>
          <w:sz w:val="24"/>
          <w:szCs w:val="24"/>
        </w:rPr>
        <w:t>There are no differences in the percentage of CD11b</w:t>
      </w:r>
      <w:r w:rsidRPr="00540EB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540EBF">
        <w:rPr>
          <w:rFonts w:ascii="Times New Roman" w:hAnsi="Times New Roman" w:cs="Times New Roman"/>
          <w:sz w:val="24"/>
          <w:szCs w:val="24"/>
        </w:rPr>
        <w:t xml:space="preserve"> cells between </w:t>
      </w:r>
      <w:r>
        <w:rPr>
          <w:rFonts w:ascii="Times New Roman" w:hAnsi="Times New Roman" w:cs="Times New Roman"/>
          <w:sz w:val="24"/>
          <w:szCs w:val="24"/>
        </w:rPr>
        <w:t>vehicle and volasertib treatment group</w:t>
      </w:r>
      <w:r w:rsidRPr="00540EBF">
        <w:rPr>
          <w:rFonts w:ascii="Times New Roman" w:hAnsi="Times New Roman" w:cs="Times New Roman"/>
          <w:sz w:val="24"/>
          <w:szCs w:val="24"/>
        </w:rPr>
        <w:t>.</w:t>
      </w:r>
    </w:p>
    <w:p w14:paraId="2E48473E" w14:textId="77777777" w:rsidR="003F2058" w:rsidRDefault="003F2058" w:rsidP="003F2058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7CD17CDD" wp14:editId="6A93A922">
            <wp:extent cx="2374397" cy="3063246"/>
            <wp:effectExtent l="0" t="0" r="0" b="0"/>
            <wp:docPr id="2029998735" name="Picture 3" descr="A black and white rectangular object with 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998735" name="Picture 3" descr="A black and white rectangular object with red dot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397" cy="306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1ED7E" w14:textId="77777777" w:rsidR="003F2058" w:rsidRDefault="003F2058" w:rsidP="003F2058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60B7B0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1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40EBF">
        <w:rPr>
          <w:rFonts w:ascii="Times New Roman" w:hAnsi="Times New Roman" w:cs="Times New Roman"/>
          <w:sz w:val="24"/>
          <w:szCs w:val="24"/>
        </w:rPr>
        <w:t>. Mutation profiling of PR-DUB complex genes in human UPS according to the TCGA database.</w:t>
      </w:r>
    </w:p>
    <w:p w14:paraId="0473CEA1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CABB58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6F19C2" wp14:editId="643C26DA">
            <wp:extent cx="3289300" cy="3829965"/>
            <wp:effectExtent l="0" t="0" r="6350" b="0"/>
            <wp:docPr id="17524891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489151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8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21C67" w14:textId="77777777" w:rsidR="003F2058" w:rsidRPr="00540EBF" w:rsidRDefault="003F2058" w:rsidP="003F2058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sz w:val="24"/>
          <w:szCs w:val="24"/>
        </w:rPr>
        <w:br w:type="page"/>
      </w:r>
    </w:p>
    <w:p w14:paraId="17885172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1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40EBF">
        <w:rPr>
          <w:rFonts w:ascii="Times New Roman" w:hAnsi="Times New Roman" w:cs="Times New Roman"/>
          <w:sz w:val="24"/>
          <w:szCs w:val="24"/>
        </w:rPr>
        <w:t>. Raw images of all western blotting are presented in this manuscript.</w:t>
      </w:r>
    </w:p>
    <w:p w14:paraId="63A93477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4E9FF4" w14:textId="77777777" w:rsidR="003F2058" w:rsidRPr="00540EBF" w:rsidRDefault="003F2058" w:rsidP="003F2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0E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AB714D" wp14:editId="00BE882F">
            <wp:extent cx="5940808" cy="5915799"/>
            <wp:effectExtent l="0" t="0" r="3175" b="8890"/>
            <wp:docPr id="174791555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15556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08" cy="591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ABDF2" w14:textId="77777777" w:rsidR="003F2058" w:rsidRDefault="003F2058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E6F6101" w14:textId="3C9C6CE7" w:rsidR="00936DEA" w:rsidRDefault="00936DEA" w:rsidP="00936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2058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1.</w:t>
      </w:r>
      <w:r w:rsidRPr="00603BEC">
        <w:rPr>
          <w:rFonts w:ascii="Times New Roman" w:hAnsi="Times New Roman" w:cs="Times New Roman"/>
          <w:sz w:val="24"/>
          <w:szCs w:val="24"/>
        </w:rPr>
        <w:t xml:space="preserve"> Top 35 genes plus TP53 and CDKN2A that are loss-of-function mutated or have copy number alterations in human UPSs and MFSs.</w:t>
      </w:r>
    </w:p>
    <w:p w14:paraId="01E93484" w14:textId="77777777" w:rsidR="00936DEA" w:rsidRDefault="00936DEA" w:rsidP="00936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905490" w14:textId="77777777" w:rsidR="00936DEA" w:rsidRDefault="00936DEA" w:rsidP="00936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72F2">
        <w:rPr>
          <w:noProof/>
        </w:rPr>
        <w:drawing>
          <wp:inline distT="0" distB="0" distL="0" distR="0" wp14:anchorId="45FAC051" wp14:editId="3FB0C92E">
            <wp:extent cx="5943600" cy="7150100"/>
            <wp:effectExtent l="0" t="0" r="0" b="0"/>
            <wp:docPr id="1371239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90363" w14:textId="77777777" w:rsidR="00936DEA" w:rsidRDefault="00936DEA" w:rsidP="00936DEA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AD3CD18" w14:textId="77777777" w:rsidR="00936DEA" w:rsidRDefault="00936DEA" w:rsidP="00936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2058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E55">
        <w:rPr>
          <w:rFonts w:ascii="Times New Roman" w:hAnsi="Times New Roman" w:cs="Times New Roman"/>
          <w:sz w:val="24"/>
          <w:szCs w:val="24"/>
        </w:rPr>
        <w:t xml:space="preserve">Next generation sequencing detected </w:t>
      </w:r>
      <w:proofErr w:type="spellStart"/>
      <w:r w:rsidRPr="00356E55">
        <w:rPr>
          <w:rFonts w:ascii="Times New Roman" w:hAnsi="Times New Roman" w:cs="Times New Roman"/>
          <w:sz w:val="24"/>
          <w:szCs w:val="24"/>
        </w:rPr>
        <w:t>InDels</w:t>
      </w:r>
      <w:proofErr w:type="spellEnd"/>
      <w:r w:rsidRPr="00356E55">
        <w:rPr>
          <w:rFonts w:ascii="Times New Roman" w:hAnsi="Times New Roman" w:cs="Times New Roman"/>
          <w:sz w:val="24"/>
          <w:szCs w:val="24"/>
        </w:rPr>
        <w:t xml:space="preserve"> in the Trp53 locus targeted by CRISPR/Cas9.</w:t>
      </w:r>
    </w:p>
    <w:p w14:paraId="2A7013A5" w14:textId="77777777" w:rsidR="00936DEA" w:rsidRDefault="00936DEA" w:rsidP="00936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AE7995" w14:textId="77777777" w:rsidR="00936DEA" w:rsidRDefault="00936DEA" w:rsidP="00936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6E55">
        <w:rPr>
          <w:noProof/>
        </w:rPr>
        <w:drawing>
          <wp:inline distT="0" distB="0" distL="0" distR="0" wp14:anchorId="7C22B6CF" wp14:editId="5ACC1FE1">
            <wp:extent cx="4781550" cy="1536700"/>
            <wp:effectExtent l="0" t="0" r="0" b="6350"/>
            <wp:docPr id="7553565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B1E66" w14:textId="77777777" w:rsidR="00936DEA" w:rsidRDefault="00936DEA" w:rsidP="00936DEA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49FDA8" w14:textId="77777777" w:rsidR="00936DEA" w:rsidRDefault="00936DEA" w:rsidP="00936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3BEC">
        <w:rPr>
          <w:rFonts w:ascii="Times New Roman" w:hAnsi="Times New Roman" w:cs="Times New Roman"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03B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3F49">
        <w:rPr>
          <w:rFonts w:ascii="Times New Roman" w:hAnsi="Times New Roman" w:cs="Times New Roman"/>
          <w:sz w:val="24"/>
          <w:szCs w:val="24"/>
        </w:rPr>
        <w:t xml:space="preserve">The rate of metastasis detected in </w:t>
      </w:r>
      <w:proofErr w:type="gramStart"/>
      <w:r w:rsidRPr="00233F49">
        <w:rPr>
          <w:rFonts w:ascii="Times New Roman" w:hAnsi="Times New Roman" w:cs="Times New Roman"/>
          <w:sz w:val="24"/>
          <w:szCs w:val="24"/>
        </w:rPr>
        <w:t>the mice</w:t>
      </w:r>
      <w:proofErr w:type="gramEnd"/>
      <w:r w:rsidRPr="00233F49">
        <w:rPr>
          <w:rFonts w:ascii="Times New Roman" w:hAnsi="Times New Roman" w:cs="Times New Roman"/>
          <w:sz w:val="24"/>
          <w:szCs w:val="24"/>
        </w:rPr>
        <w:t xml:space="preserve"> bearing different gene mutation driven tumors.</w:t>
      </w:r>
    </w:p>
    <w:p w14:paraId="4F94DE43" w14:textId="77777777" w:rsidR="00936DEA" w:rsidRDefault="00936DEA" w:rsidP="00936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1F8E14" w14:textId="77777777" w:rsidR="00936DEA" w:rsidRDefault="00936DEA" w:rsidP="00936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831">
        <w:rPr>
          <w:rFonts w:ascii="Times New Roman" w:hAnsi="Times New Roman" w:cs="Times New Roman"/>
          <w:sz w:val="24"/>
          <w:szCs w:val="24"/>
        </w:rPr>
        <w:t xml:space="preserve"> </w:t>
      </w:r>
      <w:r w:rsidRPr="00460831">
        <w:rPr>
          <w:noProof/>
        </w:rPr>
        <w:drawing>
          <wp:inline distT="0" distB="0" distL="0" distR="0" wp14:anchorId="63EFDE2B" wp14:editId="042AF2E3">
            <wp:extent cx="4438650" cy="1917700"/>
            <wp:effectExtent l="0" t="0" r="0" b="6350"/>
            <wp:docPr id="11696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A51A8" w14:textId="77777777" w:rsidR="00936DEA" w:rsidRDefault="00936DEA" w:rsidP="00936DEA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13B834E" w14:textId="77777777" w:rsidR="00936DEA" w:rsidRDefault="00936DEA" w:rsidP="00936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3BEC">
        <w:rPr>
          <w:rFonts w:ascii="Times New Roman" w:hAnsi="Times New Roman" w:cs="Times New Roman"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03B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543F">
        <w:rPr>
          <w:rFonts w:ascii="Times New Roman" w:hAnsi="Times New Roman" w:cs="Times New Roman"/>
          <w:sz w:val="24"/>
          <w:szCs w:val="24"/>
        </w:rPr>
        <w:t>Oligonucleotides.</w:t>
      </w:r>
    </w:p>
    <w:p w14:paraId="4329290B" w14:textId="77777777" w:rsidR="00936DEA" w:rsidRDefault="00936DEA" w:rsidP="00936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185F71" w14:textId="77777777" w:rsidR="00936DEA" w:rsidRDefault="00936DEA" w:rsidP="00936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BFE">
        <w:rPr>
          <w:noProof/>
        </w:rPr>
        <w:drawing>
          <wp:inline distT="0" distB="0" distL="0" distR="0" wp14:anchorId="7EB4AB14" wp14:editId="74141C71">
            <wp:extent cx="5943600" cy="2105025"/>
            <wp:effectExtent l="0" t="0" r="0" b="9525"/>
            <wp:docPr id="20017503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240BA" w14:textId="77777777" w:rsidR="00936DEA" w:rsidRDefault="00936DEA" w:rsidP="00936DEA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649EEC6" w14:textId="77777777" w:rsidR="00936DEA" w:rsidRDefault="00936DEA" w:rsidP="00936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3BEC">
        <w:rPr>
          <w:rFonts w:ascii="Times New Roman" w:hAnsi="Times New Roman" w:cs="Times New Roman"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03B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5DC6">
        <w:rPr>
          <w:rFonts w:ascii="Times New Roman" w:hAnsi="Times New Roman" w:cs="Times New Roman"/>
          <w:sz w:val="24"/>
          <w:szCs w:val="24"/>
        </w:rPr>
        <w:t>Oligonucleotide pools for synthesis.</w:t>
      </w:r>
    </w:p>
    <w:p w14:paraId="2D59D52F" w14:textId="77777777" w:rsidR="00936DEA" w:rsidRDefault="00936DEA" w:rsidP="00936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5428D7" w14:textId="77777777" w:rsidR="00936DEA" w:rsidRDefault="00936DEA" w:rsidP="00936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13FF">
        <w:rPr>
          <w:noProof/>
        </w:rPr>
        <w:drawing>
          <wp:inline distT="0" distB="0" distL="0" distR="0" wp14:anchorId="429416C2" wp14:editId="4639E61F">
            <wp:extent cx="4164481" cy="7626350"/>
            <wp:effectExtent l="0" t="0" r="7620" b="0"/>
            <wp:docPr id="2284171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908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FA5DC" w14:textId="77777777" w:rsidR="00936DEA" w:rsidRDefault="00936DEA" w:rsidP="00936DEA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27AB606" w14:textId="77777777" w:rsidR="00936DEA" w:rsidRDefault="00936DEA" w:rsidP="00936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3BEC">
        <w:rPr>
          <w:rFonts w:ascii="Times New Roman" w:hAnsi="Times New Roman" w:cs="Times New Roman"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03B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380C">
        <w:rPr>
          <w:rFonts w:ascii="Times New Roman" w:hAnsi="Times New Roman" w:cs="Times New Roman"/>
          <w:sz w:val="24"/>
          <w:szCs w:val="24"/>
        </w:rPr>
        <w:t>Combined T-cell/MDSC panel.</w:t>
      </w:r>
    </w:p>
    <w:p w14:paraId="58A5DA7F" w14:textId="77777777" w:rsidR="00936DEA" w:rsidRDefault="00936DEA" w:rsidP="00936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BC1D90" w14:textId="77777777" w:rsidR="00936DEA" w:rsidRPr="00603BEC" w:rsidRDefault="00936DEA" w:rsidP="00936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80C">
        <w:rPr>
          <w:noProof/>
        </w:rPr>
        <w:drawing>
          <wp:inline distT="0" distB="0" distL="0" distR="0" wp14:anchorId="363DFE57" wp14:editId="03532999">
            <wp:extent cx="3408802" cy="7632700"/>
            <wp:effectExtent l="0" t="0" r="1270" b="6350"/>
            <wp:docPr id="13696241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783" cy="76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71EF0" w14:textId="77777777" w:rsidR="00936DEA" w:rsidRPr="00540EBF" w:rsidRDefault="00936DEA" w:rsidP="00936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CCEE45" w14:textId="77777777" w:rsidR="005336B4" w:rsidRPr="00540EBF" w:rsidRDefault="005336B4" w:rsidP="00797E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336B4" w:rsidRPr="00540E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2ED"/>
    <w:rsid w:val="00005DF4"/>
    <w:rsid w:val="00007531"/>
    <w:rsid w:val="000426DB"/>
    <w:rsid w:val="0005683B"/>
    <w:rsid w:val="0006603A"/>
    <w:rsid w:val="000A7043"/>
    <w:rsid w:val="000B1034"/>
    <w:rsid w:val="000C2BA4"/>
    <w:rsid w:val="000D1330"/>
    <w:rsid w:val="000D18B7"/>
    <w:rsid w:val="000E2271"/>
    <w:rsid w:val="000F14FD"/>
    <w:rsid w:val="001436FB"/>
    <w:rsid w:val="00161381"/>
    <w:rsid w:val="0016511B"/>
    <w:rsid w:val="001B3E16"/>
    <w:rsid w:val="001C13EA"/>
    <w:rsid w:val="00222206"/>
    <w:rsid w:val="00224CF9"/>
    <w:rsid w:val="00235A13"/>
    <w:rsid w:val="00237A39"/>
    <w:rsid w:val="00245EC3"/>
    <w:rsid w:val="002566E5"/>
    <w:rsid w:val="002571DD"/>
    <w:rsid w:val="00266E0F"/>
    <w:rsid w:val="00286142"/>
    <w:rsid w:val="002A050E"/>
    <w:rsid w:val="002B3E83"/>
    <w:rsid w:val="002B4980"/>
    <w:rsid w:val="002B59DD"/>
    <w:rsid w:val="002D01B9"/>
    <w:rsid w:val="002E4FA3"/>
    <w:rsid w:val="003100BB"/>
    <w:rsid w:val="0031266C"/>
    <w:rsid w:val="00321000"/>
    <w:rsid w:val="00321E96"/>
    <w:rsid w:val="00327A4A"/>
    <w:rsid w:val="00332AFC"/>
    <w:rsid w:val="00341556"/>
    <w:rsid w:val="00352D55"/>
    <w:rsid w:val="00361F56"/>
    <w:rsid w:val="003A3B7E"/>
    <w:rsid w:val="003B2CEF"/>
    <w:rsid w:val="003B51B6"/>
    <w:rsid w:val="003E5891"/>
    <w:rsid w:val="003F2058"/>
    <w:rsid w:val="004005FB"/>
    <w:rsid w:val="004163D1"/>
    <w:rsid w:val="00417604"/>
    <w:rsid w:val="00433FE8"/>
    <w:rsid w:val="00452A10"/>
    <w:rsid w:val="00454941"/>
    <w:rsid w:val="00473681"/>
    <w:rsid w:val="00481483"/>
    <w:rsid w:val="00487A4B"/>
    <w:rsid w:val="0049656E"/>
    <w:rsid w:val="004C6306"/>
    <w:rsid w:val="004D4DD8"/>
    <w:rsid w:val="004E7DC7"/>
    <w:rsid w:val="004F2FE3"/>
    <w:rsid w:val="005001AE"/>
    <w:rsid w:val="00502AB1"/>
    <w:rsid w:val="00503253"/>
    <w:rsid w:val="00512820"/>
    <w:rsid w:val="005200E1"/>
    <w:rsid w:val="00526E11"/>
    <w:rsid w:val="005336B4"/>
    <w:rsid w:val="00535FC2"/>
    <w:rsid w:val="00540EBF"/>
    <w:rsid w:val="005450B2"/>
    <w:rsid w:val="005479F2"/>
    <w:rsid w:val="00560B52"/>
    <w:rsid w:val="00582657"/>
    <w:rsid w:val="00587CAC"/>
    <w:rsid w:val="005903D8"/>
    <w:rsid w:val="005A1577"/>
    <w:rsid w:val="005B3E37"/>
    <w:rsid w:val="005F56E2"/>
    <w:rsid w:val="005F7E77"/>
    <w:rsid w:val="00605246"/>
    <w:rsid w:val="00615049"/>
    <w:rsid w:val="00617B4F"/>
    <w:rsid w:val="006262ED"/>
    <w:rsid w:val="00642D15"/>
    <w:rsid w:val="0064425E"/>
    <w:rsid w:val="006734E6"/>
    <w:rsid w:val="006761FE"/>
    <w:rsid w:val="006764AC"/>
    <w:rsid w:val="006844CB"/>
    <w:rsid w:val="00686402"/>
    <w:rsid w:val="006E612C"/>
    <w:rsid w:val="006F4ABA"/>
    <w:rsid w:val="007356EE"/>
    <w:rsid w:val="0074096F"/>
    <w:rsid w:val="007461E6"/>
    <w:rsid w:val="00760B93"/>
    <w:rsid w:val="00782C21"/>
    <w:rsid w:val="00797E19"/>
    <w:rsid w:val="007A111D"/>
    <w:rsid w:val="007E20C1"/>
    <w:rsid w:val="00804FCA"/>
    <w:rsid w:val="008326D7"/>
    <w:rsid w:val="00853392"/>
    <w:rsid w:val="00867F25"/>
    <w:rsid w:val="008835B6"/>
    <w:rsid w:val="00883E07"/>
    <w:rsid w:val="008861B7"/>
    <w:rsid w:val="008A162C"/>
    <w:rsid w:val="008B059A"/>
    <w:rsid w:val="008C269E"/>
    <w:rsid w:val="008C3724"/>
    <w:rsid w:val="008C4A78"/>
    <w:rsid w:val="008D35DF"/>
    <w:rsid w:val="008E5E53"/>
    <w:rsid w:val="008F2487"/>
    <w:rsid w:val="008F79C3"/>
    <w:rsid w:val="00936DEA"/>
    <w:rsid w:val="0094379F"/>
    <w:rsid w:val="009614D5"/>
    <w:rsid w:val="00965666"/>
    <w:rsid w:val="009A1077"/>
    <w:rsid w:val="009A2676"/>
    <w:rsid w:val="009A2BB3"/>
    <w:rsid w:val="009A4B66"/>
    <w:rsid w:val="009C282E"/>
    <w:rsid w:val="009C41B5"/>
    <w:rsid w:val="009C5303"/>
    <w:rsid w:val="00A10382"/>
    <w:rsid w:val="00A1464B"/>
    <w:rsid w:val="00A209A4"/>
    <w:rsid w:val="00A34452"/>
    <w:rsid w:val="00A44DCC"/>
    <w:rsid w:val="00A505BF"/>
    <w:rsid w:val="00A60F91"/>
    <w:rsid w:val="00A651F5"/>
    <w:rsid w:val="00A708E2"/>
    <w:rsid w:val="00A74082"/>
    <w:rsid w:val="00AA40D1"/>
    <w:rsid w:val="00AC5B68"/>
    <w:rsid w:val="00AE5E8C"/>
    <w:rsid w:val="00B00688"/>
    <w:rsid w:val="00B045B1"/>
    <w:rsid w:val="00B60E9E"/>
    <w:rsid w:val="00BB584B"/>
    <w:rsid w:val="00BC3E59"/>
    <w:rsid w:val="00BC6F93"/>
    <w:rsid w:val="00BC7D10"/>
    <w:rsid w:val="00BE3211"/>
    <w:rsid w:val="00BF6A3B"/>
    <w:rsid w:val="00C07F7E"/>
    <w:rsid w:val="00C10BC7"/>
    <w:rsid w:val="00C31131"/>
    <w:rsid w:val="00C573E3"/>
    <w:rsid w:val="00CA3D4E"/>
    <w:rsid w:val="00CB1AE5"/>
    <w:rsid w:val="00CB387D"/>
    <w:rsid w:val="00CC655A"/>
    <w:rsid w:val="00CE274E"/>
    <w:rsid w:val="00CE396E"/>
    <w:rsid w:val="00CF2F3D"/>
    <w:rsid w:val="00CF6891"/>
    <w:rsid w:val="00CF7222"/>
    <w:rsid w:val="00D26D1B"/>
    <w:rsid w:val="00D27C4F"/>
    <w:rsid w:val="00D32DB5"/>
    <w:rsid w:val="00D55044"/>
    <w:rsid w:val="00D559DD"/>
    <w:rsid w:val="00D6037E"/>
    <w:rsid w:val="00D72DCF"/>
    <w:rsid w:val="00D91FD3"/>
    <w:rsid w:val="00DA59C2"/>
    <w:rsid w:val="00DB05E3"/>
    <w:rsid w:val="00DD5F6E"/>
    <w:rsid w:val="00E12099"/>
    <w:rsid w:val="00E150BD"/>
    <w:rsid w:val="00E201EC"/>
    <w:rsid w:val="00E44C06"/>
    <w:rsid w:val="00E635DE"/>
    <w:rsid w:val="00E64C35"/>
    <w:rsid w:val="00EA0175"/>
    <w:rsid w:val="00EB3959"/>
    <w:rsid w:val="00EB56C2"/>
    <w:rsid w:val="00EC1AAE"/>
    <w:rsid w:val="00ED31E2"/>
    <w:rsid w:val="00F048E4"/>
    <w:rsid w:val="00F05A83"/>
    <w:rsid w:val="00F30FFD"/>
    <w:rsid w:val="00F31A69"/>
    <w:rsid w:val="00F40165"/>
    <w:rsid w:val="00F61645"/>
    <w:rsid w:val="00F65735"/>
    <w:rsid w:val="00F95FC4"/>
    <w:rsid w:val="00FA51CC"/>
    <w:rsid w:val="00FB3807"/>
    <w:rsid w:val="00FC0561"/>
    <w:rsid w:val="00FC2B36"/>
    <w:rsid w:val="00FF5032"/>
    <w:rsid w:val="00FF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15F0C"/>
  <w15:chartTrackingRefBased/>
  <w15:docId w15:val="{2096C933-ABE8-4502-ABC4-9F690CD0B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36FB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62E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62E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62E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62E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62E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62ED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62ED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62ED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62ED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62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62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62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62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62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62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62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62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62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62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262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62ED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262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62ED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262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62ED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262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62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62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62E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A59C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59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tif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hyperlink" Target="mailto:david.kirsch@uhn.ca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23</Pages>
  <Words>847</Words>
  <Characters>4771</Characters>
  <Application>Microsoft Office Word</Application>
  <DocSecurity>0</DocSecurity>
  <Lines>140</Lines>
  <Paragraphs>38</Paragraphs>
  <ScaleCrop>false</ScaleCrop>
  <Company/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Huang, Jianguo</dc:creator>
  <cp:keywords/>
  <dc:description/>
  <cp:lastModifiedBy>Huang, Jianguo</cp:lastModifiedBy>
  <cp:revision>170</cp:revision>
  <dcterms:created xsi:type="dcterms:W3CDTF">2024-10-14T04:51:00Z</dcterms:created>
  <dcterms:modified xsi:type="dcterms:W3CDTF">2026-06-17T16:18:00Z</dcterms:modified>
</cp:coreProperties>
</file>