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E30E8" w14:textId="74F92412" w:rsidR="008A20A0" w:rsidRPr="008A20A0" w:rsidRDefault="008A20A0" w:rsidP="004D4091">
      <w:pPr>
        <w:spacing w:line="480" w:lineRule="auto"/>
        <w:rPr>
          <w:rFonts w:ascii="Arial" w:hAnsi="Arial" w:cs="Arial"/>
          <w:b/>
          <w:bCs/>
          <w:sz w:val="22"/>
          <w:szCs w:val="22"/>
        </w:rPr>
      </w:pPr>
      <w:r w:rsidRPr="008A20A0">
        <w:rPr>
          <w:rFonts w:ascii="Arial" w:hAnsi="Arial" w:cs="Arial"/>
          <w:b/>
          <w:bCs/>
          <w:sz w:val="22"/>
          <w:szCs w:val="22"/>
        </w:rPr>
        <w:t>Supplementary Methods</w:t>
      </w:r>
    </w:p>
    <w:p w14:paraId="60CA582C" w14:textId="77777777" w:rsidR="00590032" w:rsidRDefault="00590032" w:rsidP="00DC790B">
      <w:pPr>
        <w:spacing w:line="480" w:lineRule="auto"/>
        <w:rPr>
          <w:rFonts w:ascii="Arial" w:hAnsi="Arial" w:cs="Arial"/>
          <w:bCs/>
          <w:i/>
          <w:sz w:val="22"/>
          <w:szCs w:val="22"/>
        </w:rPr>
      </w:pPr>
    </w:p>
    <w:p w14:paraId="51D61EE9" w14:textId="4724908D" w:rsidR="00DC790B" w:rsidRPr="00590032" w:rsidRDefault="00590032" w:rsidP="00DC790B">
      <w:pPr>
        <w:spacing w:line="480" w:lineRule="auto"/>
        <w:rPr>
          <w:rFonts w:ascii="Arial" w:hAnsi="Arial" w:cs="Arial"/>
          <w:sz w:val="20"/>
          <w:szCs w:val="20"/>
        </w:rPr>
      </w:pPr>
      <w:r w:rsidRPr="00590032">
        <w:rPr>
          <w:rFonts w:ascii="Arial" w:hAnsi="Arial" w:cs="Arial"/>
          <w:bCs/>
          <w:i/>
          <w:sz w:val="22"/>
          <w:szCs w:val="22"/>
        </w:rPr>
        <w:t>Real-Time PCR Validation of Patient Tumors</w:t>
      </w:r>
    </w:p>
    <w:p w14:paraId="30E04797" w14:textId="456425A2" w:rsidR="00DC790B" w:rsidRPr="00DC790B" w:rsidRDefault="00B70C47" w:rsidP="00DC790B">
      <w:pPr>
        <w:spacing w:line="480" w:lineRule="auto"/>
        <w:rPr>
          <w:rFonts w:ascii="Arial" w:hAnsi="Arial" w:cs="Arial"/>
          <w:sz w:val="22"/>
          <w:szCs w:val="22"/>
        </w:rPr>
      </w:pPr>
      <w:r>
        <w:rPr>
          <w:rFonts w:ascii="Arial" w:hAnsi="Arial" w:cs="Arial"/>
        </w:rPr>
        <w:t>RNA-extracted for the Affymetrix microarray was used to synthesize</w:t>
      </w:r>
      <w:r w:rsidRPr="00FB05D3">
        <w:rPr>
          <w:rFonts w:ascii="Arial" w:hAnsi="Arial" w:cs="Arial"/>
        </w:rPr>
        <w:t xml:space="preserve"> cDNA </w:t>
      </w:r>
      <w:r>
        <w:rPr>
          <w:rFonts w:ascii="Arial" w:hAnsi="Arial" w:cs="Arial"/>
        </w:rPr>
        <w:t xml:space="preserve">with </w:t>
      </w:r>
      <w:r w:rsidRPr="00FB05D3">
        <w:rPr>
          <w:rFonts w:ascii="Arial" w:hAnsi="Arial" w:cs="Arial"/>
        </w:rPr>
        <w:t xml:space="preserve">the </w:t>
      </w:r>
      <w:proofErr w:type="spellStart"/>
      <w:r w:rsidRPr="00FB05D3">
        <w:rPr>
          <w:rFonts w:ascii="Arial" w:hAnsi="Arial" w:cs="Arial"/>
        </w:rPr>
        <w:t>SuperScript</w:t>
      </w:r>
      <w:proofErr w:type="spellEnd"/>
      <w:r w:rsidRPr="00FB05D3">
        <w:rPr>
          <w:rFonts w:ascii="Arial" w:hAnsi="Arial" w:cs="Arial"/>
        </w:rPr>
        <w:t xml:space="preserve"> III Reverse Transcriptase kit (Cat. No 18080-093 Invitrogen, Carlsbad, CA).</w:t>
      </w:r>
      <w:r>
        <w:rPr>
          <w:rFonts w:ascii="Arial" w:hAnsi="Arial" w:cs="Arial"/>
        </w:rPr>
        <w:t xml:space="preserve"> </w:t>
      </w:r>
      <w:r w:rsidRPr="00FB05D3">
        <w:rPr>
          <w:rFonts w:ascii="Arial" w:hAnsi="Arial" w:cs="Arial"/>
        </w:rPr>
        <w:t xml:space="preserve">RNA </w:t>
      </w:r>
      <w:r>
        <w:rPr>
          <w:rFonts w:ascii="Arial" w:hAnsi="Arial" w:cs="Arial"/>
        </w:rPr>
        <w:t>(</w:t>
      </w:r>
      <w:r w:rsidRPr="00FB05D3">
        <w:rPr>
          <w:rFonts w:ascii="Arial" w:hAnsi="Arial" w:cs="Arial"/>
        </w:rPr>
        <w:t>0.5</w:t>
      </w:r>
      <w:proofErr w:type="gramStart"/>
      <w:r w:rsidRPr="00FB05D3">
        <w:rPr>
          <w:rFonts w:ascii="Arial" w:hAnsi="Arial" w:cs="Arial"/>
        </w:rPr>
        <w:t>µg</w:t>
      </w:r>
      <w:proofErr w:type="gramEnd"/>
      <w:r>
        <w:rPr>
          <w:rFonts w:ascii="Arial" w:hAnsi="Arial" w:cs="Arial"/>
        </w:rPr>
        <w:t>)</w:t>
      </w:r>
      <w:r w:rsidRPr="00FB05D3">
        <w:rPr>
          <w:rFonts w:ascii="Arial" w:hAnsi="Arial" w:cs="Arial"/>
        </w:rPr>
        <w:t xml:space="preserve"> was annealed with 2ρmoles of gene-specific primers, at 65</w:t>
      </w:r>
      <w:r w:rsidRPr="00FB05D3">
        <w:rPr>
          <w:rFonts w:ascii="Arial" w:hAnsi="Arial" w:cs="Arial"/>
          <w:vertAlign w:val="superscript"/>
        </w:rPr>
        <w:t>○</w:t>
      </w:r>
      <w:r w:rsidRPr="00FB05D3">
        <w:rPr>
          <w:rFonts w:ascii="Arial" w:hAnsi="Arial" w:cs="Arial"/>
        </w:rPr>
        <w:t>C, followed by cDNA synthesis for 60 min at 55</w:t>
      </w:r>
      <w:r w:rsidRPr="00FB05D3">
        <w:rPr>
          <w:rFonts w:ascii="Arial" w:hAnsi="Arial" w:cs="Arial"/>
          <w:vertAlign w:val="superscript"/>
        </w:rPr>
        <w:t>○</w:t>
      </w:r>
      <w:r w:rsidRPr="00FB05D3">
        <w:rPr>
          <w:rFonts w:ascii="Arial" w:hAnsi="Arial" w:cs="Arial"/>
        </w:rPr>
        <w:t xml:space="preserve">C with 200 units of </w:t>
      </w:r>
      <w:proofErr w:type="spellStart"/>
      <w:r w:rsidRPr="00FB05D3">
        <w:rPr>
          <w:rFonts w:ascii="Arial" w:hAnsi="Arial" w:cs="Arial"/>
        </w:rPr>
        <w:t>SuperScript</w:t>
      </w:r>
      <w:proofErr w:type="spellEnd"/>
      <w:r w:rsidRPr="00FB05D3">
        <w:rPr>
          <w:rFonts w:ascii="Arial" w:hAnsi="Arial" w:cs="Arial"/>
        </w:rPr>
        <w:t xml:space="preserve"> III in a total volume of 20</w:t>
      </w:r>
      <w:r w:rsidRPr="00FB05D3">
        <w:rPr>
          <w:rFonts w:ascii="Arial" w:hAnsi="Arial" w:cs="Arial"/>
        </w:rPr>
        <w:sym w:font="Symbol" w:char="F06D"/>
      </w:r>
      <w:r w:rsidRPr="00FB05D3">
        <w:rPr>
          <w:rFonts w:ascii="Arial" w:hAnsi="Arial" w:cs="Arial"/>
        </w:rPr>
        <w:t>L, and inactivation was done at 70</w:t>
      </w:r>
      <w:r w:rsidRPr="00FB05D3">
        <w:rPr>
          <w:rFonts w:ascii="Arial" w:hAnsi="Arial" w:cs="Arial"/>
          <w:vertAlign w:val="superscript"/>
        </w:rPr>
        <w:t>○</w:t>
      </w:r>
      <w:r w:rsidRPr="00FB05D3">
        <w:rPr>
          <w:rFonts w:ascii="Arial" w:hAnsi="Arial" w:cs="Arial"/>
        </w:rPr>
        <w:t>C for 15 min.</w:t>
      </w:r>
      <w:r w:rsidRPr="00FB05D3">
        <w:rPr>
          <w:rFonts w:ascii="Arial" w:hAnsi="Arial" w:cs="Arial"/>
          <w:b/>
          <w:i/>
        </w:rPr>
        <w:t xml:space="preserve"> </w:t>
      </w:r>
      <w:r>
        <w:rPr>
          <w:rFonts w:ascii="Arial" w:hAnsi="Arial" w:cs="Arial"/>
          <w:bCs/>
          <w:iCs/>
        </w:rPr>
        <w:t>T</w:t>
      </w:r>
      <w:r w:rsidRPr="00FB05D3">
        <w:rPr>
          <w:rFonts w:ascii="Arial" w:hAnsi="Arial" w:cs="Arial"/>
        </w:rPr>
        <w:t xml:space="preserve">he </w:t>
      </w:r>
      <w:proofErr w:type="spellStart"/>
      <w:r w:rsidRPr="00FB05D3">
        <w:rPr>
          <w:rFonts w:ascii="Arial" w:hAnsi="Arial" w:cs="Arial"/>
        </w:rPr>
        <w:t>iTaqUniversal</w:t>
      </w:r>
      <w:proofErr w:type="spellEnd"/>
      <w:r w:rsidRPr="00FB05D3">
        <w:rPr>
          <w:rFonts w:ascii="Arial" w:hAnsi="Arial" w:cs="Arial"/>
        </w:rPr>
        <w:t xml:space="preserve"> SYBR Green </w:t>
      </w:r>
      <w:proofErr w:type="spellStart"/>
      <w:r w:rsidRPr="00FB05D3">
        <w:rPr>
          <w:rFonts w:ascii="Arial" w:hAnsi="Arial" w:cs="Arial"/>
        </w:rPr>
        <w:t>Supermix</w:t>
      </w:r>
      <w:proofErr w:type="spellEnd"/>
      <w:r w:rsidRPr="00FB05D3">
        <w:rPr>
          <w:rFonts w:ascii="Arial" w:hAnsi="Arial" w:cs="Arial"/>
        </w:rPr>
        <w:t xml:space="preserve"> kit </w:t>
      </w:r>
      <w:r>
        <w:rPr>
          <w:rFonts w:ascii="Arial" w:hAnsi="Arial" w:cs="Arial"/>
        </w:rPr>
        <w:t xml:space="preserve">was used </w:t>
      </w:r>
      <w:r w:rsidRPr="00FB05D3">
        <w:rPr>
          <w:rFonts w:ascii="Arial" w:hAnsi="Arial" w:cs="Arial"/>
        </w:rPr>
        <w:t xml:space="preserve">to perform PCR (Cat.No172-5124, Bio-Rad). </w:t>
      </w:r>
      <w:r w:rsidR="00923BA5">
        <w:rPr>
          <w:rFonts w:ascii="Arial" w:hAnsi="Arial" w:cs="Arial"/>
        </w:rPr>
        <w:t>. )</w:t>
      </w:r>
      <w:r w:rsidR="00DC790B" w:rsidRPr="00DC790B">
        <w:rPr>
          <w:rFonts w:ascii="Arial" w:hAnsi="Arial" w:cs="Arial"/>
          <w:sz w:val="22"/>
          <w:szCs w:val="22"/>
        </w:rPr>
        <w:t xml:space="preserve">Ten </w:t>
      </w:r>
      <w:r w:rsidR="00DC790B" w:rsidRPr="00DC790B">
        <w:rPr>
          <w:rFonts w:ascii="Arial" w:hAnsi="Arial" w:cs="Arial"/>
          <w:sz w:val="22"/>
          <w:szCs w:val="22"/>
        </w:rPr>
        <w:sym w:font="Symbol" w:char="F06D"/>
      </w:r>
      <w:r w:rsidR="00DC790B" w:rsidRPr="00DC790B">
        <w:rPr>
          <w:rFonts w:ascii="Arial" w:hAnsi="Arial" w:cs="Arial"/>
          <w:sz w:val="22"/>
          <w:szCs w:val="22"/>
        </w:rPr>
        <w:t>L of cDNA reaction mix was used as a template for a 20</w:t>
      </w:r>
      <w:r w:rsidR="00DC790B" w:rsidRPr="00DC790B">
        <w:rPr>
          <w:rFonts w:ascii="Arial" w:hAnsi="Arial" w:cs="Arial"/>
          <w:sz w:val="22"/>
          <w:szCs w:val="22"/>
        </w:rPr>
        <w:sym w:font="Symbol" w:char="F06D"/>
      </w:r>
      <w:r w:rsidR="00DC790B" w:rsidRPr="00DC790B">
        <w:rPr>
          <w:rFonts w:ascii="Arial" w:hAnsi="Arial" w:cs="Arial"/>
          <w:sz w:val="22"/>
          <w:szCs w:val="22"/>
        </w:rPr>
        <w:t xml:space="preserve">L reaction in triplicate wells containing 500nM of both reverse and forward primers. The reaction was performed using the Applied Biosystems (ABI) 7300 or </w:t>
      </w:r>
      <w:proofErr w:type="spellStart"/>
      <w:r w:rsidR="00DC790B" w:rsidRPr="00DC790B">
        <w:rPr>
          <w:rFonts w:ascii="Arial" w:hAnsi="Arial" w:cs="Arial"/>
          <w:sz w:val="22"/>
          <w:szCs w:val="22"/>
        </w:rPr>
        <w:t>StepOnePlus</w:t>
      </w:r>
      <w:proofErr w:type="spellEnd"/>
      <w:r w:rsidR="00DC790B" w:rsidRPr="00DC790B">
        <w:rPr>
          <w:rFonts w:ascii="Arial" w:hAnsi="Arial" w:cs="Arial"/>
          <w:sz w:val="22"/>
          <w:szCs w:val="22"/>
        </w:rPr>
        <w:t xml:space="preserve"> Instrument. Analysis of mRNA relative fold copy number adjusted to hypoxanthine-guanine phosphoribosyl transferase (HPRT), an endogenous control, was carried out in a 96-optical PCR plate.  The PCR parameters were as follows: denature temperature was at 95°C </w:t>
      </w:r>
      <w:proofErr w:type="gramStart"/>
      <w:r w:rsidR="00DC790B" w:rsidRPr="00DC790B">
        <w:rPr>
          <w:rFonts w:ascii="Arial" w:hAnsi="Arial" w:cs="Arial"/>
          <w:sz w:val="22"/>
          <w:szCs w:val="22"/>
        </w:rPr>
        <w:t>for</w:t>
      </w:r>
      <w:proofErr w:type="gramEnd"/>
      <w:r w:rsidR="00DC790B" w:rsidRPr="00DC790B">
        <w:rPr>
          <w:rFonts w:ascii="Arial" w:hAnsi="Arial" w:cs="Arial"/>
          <w:sz w:val="22"/>
          <w:szCs w:val="22"/>
        </w:rPr>
        <w:t xml:space="preserve"> 10 minutes; PCR cycling for 40 cycles was at 95°C </w:t>
      </w:r>
      <w:proofErr w:type="gramStart"/>
      <w:r w:rsidR="00DC790B" w:rsidRPr="00DC790B">
        <w:rPr>
          <w:rFonts w:ascii="Arial" w:hAnsi="Arial" w:cs="Arial"/>
          <w:sz w:val="22"/>
          <w:szCs w:val="22"/>
        </w:rPr>
        <w:t>for</w:t>
      </w:r>
      <w:proofErr w:type="gramEnd"/>
      <w:r w:rsidR="00DC790B" w:rsidRPr="00DC790B">
        <w:rPr>
          <w:rFonts w:ascii="Arial" w:hAnsi="Arial" w:cs="Arial"/>
          <w:sz w:val="22"/>
          <w:szCs w:val="22"/>
        </w:rPr>
        <w:t xml:space="preserve"> 10 seconds, and 60°C </w:t>
      </w:r>
      <w:proofErr w:type="gramStart"/>
      <w:r w:rsidR="00DC790B" w:rsidRPr="00DC790B">
        <w:rPr>
          <w:rFonts w:ascii="Arial" w:hAnsi="Arial" w:cs="Arial"/>
          <w:sz w:val="22"/>
          <w:szCs w:val="22"/>
        </w:rPr>
        <w:t>for</w:t>
      </w:r>
      <w:proofErr w:type="gramEnd"/>
      <w:r w:rsidR="00DC790B" w:rsidRPr="00DC790B">
        <w:rPr>
          <w:rFonts w:ascii="Arial" w:hAnsi="Arial" w:cs="Arial"/>
          <w:sz w:val="22"/>
          <w:szCs w:val="22"/>
        </w:rPr>
        <w:t xml:space="preserve"> 45 seconds.  The threshold cycle number (Ct) determined relative value for amplified cDNA.  Gene transcript expression was performed using real-time PCR for the list of 33 genes summarized in Table 1 at day 1, 14, and 25. Hypoxanthine guanine phosphoribosyl transferase (HPRT) or ribosomal protein L13a (RPL13a) transcripts were measured as endogenous loading controls. the 2</w:t>
      </w:r>
      <w:r w:rsidR="00DC790B" w:rsidRPr="00DC790B">
        <w:rPr>
          <w:rFonts w:ascii="Arial" w:hAnsi="Arial" w:cs="Arial"/>
          <w:sz w:val="22"/>
          <w:szCs w:val="22"/>
          <w:vertAlign w:val="superscript"/>
        </w:rPr>
        <w:t xml:space="preserve"> -ΔΔCT</w:t>
      </w:r>
      <w:r w:rsidR="00DC790B" w:rsidRPr="00DC790B">
        <w:rPr>
          <w:rFonts w:ascii="Arial" w:hAnsi="Arial" w:cs="Arial"/>
          <w:sz w:val="22"/>
          <w:szCs w:val="22"/>
        </w:rPr>
        <w:t xml:space="preserve"> method was used to calculate relative expression of gene transcripts. Primer sequences are provided in Supplementary Table 1.</w:t>
      </w:r>
    </w:p>
    <w:p w14:paraId="7BACD7D0" w14:textId="77777777" w:rsidR="00DC790B" w:rsidRDefault="00DC790B" w:rsidP="004D4091">
      <w:pPr>
        <w:spacing w:line="480" w:lineRule="auto"/>
        <w:rPr>
          <w:rFonts w:ascii="Arial" w:hAnsi="Arial" w:cs="Arial"/>
          <w:i/>
          <w:iCs/>
          <w:sz w:val="22"/>
          <w:szCs w:val="22"/>
        </w:rPr>
      </w:pPr>
    </w:p>
    <w:p w14:paraId="23BCCC88" w14:textId="77777777" w:rsidR="001354C6" w:rsidRDefault="001354C6" w:rsidP="004D4091">
      <w:pPr>
        <w:spacing w:line="480" w:lineRule="auto"/>
        <w:rPr>
          <w:rFonts w:ascii="Arial" w:hAnsi="Arial" w:cs="Arial"/>
          <w:i/>
          <w:iCs/>
          <w:sz w:val="22"/>
          <w:szCs w:val="22"/>
        </w:rPr>
      </w:pPr>
    </w:p>
    <w:p w14:paraId="67FA098E" w14:textId="482DE526" w:rsidR="004D4091" w:rsidRPr="004D4091" w:rsidRDefault="004D4091" w:rsidP="004D4091">
      <w:pPr>
        <w:spacing w:line="480" w:lineRule="auto"/>
        <w:rPr>
          <w:rFonts w:ascii="Arial" w:hAnsi="Arial" w:cs="Arial"/>
          <w:i/>
          <w:iCs/>
          <w:sz w:val="22"/>
          <w:szCs w:val="22"/>
        </w:rPr>
      </w:pPr>
      <w:r w:rsidRPr="004D4091">
        <w:rPr>
          <w:rFonts w:ascii="Arial" w:hAnsi="Arial" w:cs="Arial"/>
          <w:i/>
          <w:iCs/>
          <w:sz w:val="22"/>
          <w:szCs w:val="22"/>
        </w:rPr>
        <w:lastRenderedPageBreak/>
        <w:t>Western Blotting</w:t>
      </w:r>
    </w:p>
    <w:p w14:paraId="525E47B0" w14:textId="311D32AD" w:rsidR="000E2359" w:rsidRPr="001354C6" w:rsidRDefault="00652473" w:rsidP="004D4091">
      <w:pPr>
        <w:spacing w:line="480" w:lineRule="auto"/>
        <w:rPr>
          <w:rFonts w:ascii="Arial" w:hAnsi="Arial" w:cs="Arial"/>
          <w:bCs/>
          <w:i/>
        </w:rPr>
      </w:pPr>
      <w:r w:rsidRPr="00FB05D3">
        <w:rPr>
          <w:rFonts w:ascii="Arial" w:hAnsi="Arial" w:cs="Arial"/>
        </w:rPr>
        <w:t>The primary antibod</w:t>
      </w:r>
      <w:r>
        <w:rPr>
          <w:rFonts w:ascii="Arial" w:hAnsi="Arial" w:cs="Arial"/>
        </w:rPr>
        <w:t>ies that were used to detect specific proteins are the following:</w:t>
      </w:r>
      <w:r w:rsidRPr="00FB05D3">
        <w:rPr>
          <w:rFonts w:ascii="Arial" w:hAnsi="Arial" w:cs="Arial"/>
        </w:rPr>
        <w:t xml:space="preserve"> </w:t>
      </w:r>
      <w:r w:rsidRPr="00117B42">
        <w:rPr>
          <w:rFonts w:ascii="Arial" w:hAnsi="Arial" w:cs="Arial"/>
        </w:rPr>
        <w:t>[</w:t>
      </w:r>
      <w:r w:rsidRPr="00BB49DD">
        <w:rPr>
          <w:rFonts w:ascii="Arial" w:hAnsi="Arial" w:cs="Arial"/>
        </w:rPr>
        <w:t>RRID:AB_2088778</w:t>
      </w:r>
      <w:r>
        <w:rPr>
          <w:rFonts w:ascii="Arial" w:hAnsi="Arial" w:cs="Arial"/>
        </w:rPr>
        <w:t xml:space="preserve">: </w:t>
      </w:r>
      <w:r w:rsidRPr="00117B42">
        <w:rPr>
          <w:rFonts w:ascii="Arial" w:hAnsi="Arial" w:cs="Arial"/>
        </w:rPr>
        <w:t>DAXX (25C12), Cat 4533S, Cell Signaling Technologies, Danvers, MA), Notch1 (</w:t>
      </w:r>
      <w:r w:rsidRPr="000940FA">
        <w:rPr>
          <w:rFonts w:ascii="Arial" w:hAnsi="Arial" w:cs="Arial"/>
        </w:rPr>
        <w:t>RRID:AB_650335</w:t>
      </w:r>
      <w:r>
        <w:rPr>
          <w:rFonts w:ascii="Arial" w:hAnsi="Arial" w:cs="Arial"/>
        </w:rPr>
        <w:t xml:space="preserve">: </w:t>
      </w:r>
      <w:r w:rsidRPr="00117B42">
        <w:rPr>
          <w:rFonts w:ascii="Arial" w:hAnsi="Arial" w:cs="Arial"/>
        </w:rPr>
        <w:t>C-20, Cat. sc-6014, Santa Cruz Biotechnology, Dallas, TX), Notch4 (H-225, Cat. sc-5594), or Actin (</w:t>
      </w:r>
      <w:r w:rsidRPr="00252B7B">
        <w:rPr>
          <w:rFonts w:ascii="Arial" w:hAnsi="Arial" w:cs="Arial"/>
        </w:rPr>
        <w:t>RRID:AB_476744</w:t>
      </w:r>
      <w:r>
        <w:rPr>
          <w:rFonts w:ascii="Arial" w:hAnsi="Arial" w:cs="Arial"/>
        </w:rPr>
        <w:t xml:space="preserve">: </w:t>
      </w:r>
      <w:r w:rsidRPr="00117B42">
        <w:rPr>
          <w:rFonts w:ascii="Arial" w:hAnsi="Arial" w:cs="Arial"/>
        </w:rPr>
        <w:t xml:space="preserve">Cat.A5441, Sigma-Aldrich, </w:t>
      </w:r>
      <w:r w:rsidRPr="00FC091F">
        <w:rPr>
          <w:rFonts w:ascii="Arial" w:hAnsi="Arial" w:cs="Arial"/>
        </w:rPr>
        <w:t>St. Louis</w:t>
      </w:r>
      <w:r w:rsidRPr="00117B42">
        <w:rPr>
          <w:rFonts w:ascii="Arial" w:hAnsi="Arial" w:cs="Arial"/>
        </w:rPr>
        <w:t xml:space="preserve">, </w:t>
      </w:r>
      <w:r w:rsidRPr="00FC091F">
        <w:rPr>
          <w:rFonts w:ascii="Arial" w:hAnsi="Arial" w:cs="Arial"/>
        </w:rPr>
        <w:t>MO)]</w:t>
      </w:r>
      <w:r>
        <w:rPr>
          <w:rFonts w:ascii="Arial" w:hAnsi="Arial" w:cs="Arial"/>
        </w:rPr>
        <w:t xml:space="preserve">. </w:t>
      </w:r>
      <w:r w:rsidRPr="00FC091F">
        <w:rPr>
          <w:rFonts w:ascii="Arial" w:hAnsi="Arial" w:cs="Arial"/>
          <w:sz w:val="20"/>
          <w:szCs w:val="20"/>
        </w:rPr>
        <w:t xml:space="preserve"> </w:t>
      </w:r>
      <w:r w:rsidR="004D4091" w:rsidRPr="004D4091">
        <w:rPr>
          <w:rFonts w:ascii="Arial" w:hAnsi="Arial" w:cs="Arial"/>
          <w:sz w:val="22"/>
          <w:szCs w:val="22"/>
        </w:rPr>
        <w:t>MCF-7 and BT474 cells were maintained in the incubator at 37</w:t>
      </w:r>
      <w:r w:rsidR="004D4091" w:rsidRPr="004D4091">
        <w:rPr>
          <w:rFonts w:ascii="Arial" w:hAnsi="Arial" w:cs="Arial"/>
          <w:sz w:val="22"/>
          <w:szCs w:val="22"/>
          <w:vertAlign w:val="superscript"/>
        </w:rPr>
        <w:t>0</w:t>
      </w:r>
      <w:r w:rsidR="004D4091" w:rsidRPr="004D4091">
        <w:rPr>
          <w:rFonts w:ascii="Arial" w:hAnsi="Arial" w:cs="Arial"/>
          <w:sz w:val="22"/>
          <w:szCs w:val="22"/>
        </w:rPr>
        <w:t>C with 95% air and 5% CO</w:t>
      </w:r>
      <w:r w:rsidR="004D4091" w:rsidRPr="004D4091">
        <w:rPr>
          <w:rFonts w:ascii="Arial" w:hAnsi="Arial" w:cs="Arial"/>
          <w:sz w:val="22"/>
          <w:szCs w:val="22"/>
          <w:vertAlign w:val="subscript"/>
        </w:rPr>
        <w:t>2</w:t>
      </w:r>
      <w:r w:rsidR="004D4091" w:rsidRPr="004D4091">
        <w:rPr>
          <w:rFonts w:ascii="Arial" w:hAnsi="Arial" w:cs="Arial"/>
          <w:sz w:val="22"/>
          <w:szCs w:val="22"/>
        </w:rPr>
        <w:t>. After transfection and/or treatment, the medium was aspirated and cells were washed twice using ice-cold phosphate-buffered saline (PBS). 150μL-300μL of Triton X-100 lysis buffer (50mM 4-(2-hydroxyethyl)-1-piperazineethanesulfonic acid (HEPES), 1% Triton X-100,150mM sodium chloride (NaCl), 5mM ethylene-</w:t>
      </w:r>
      <w:proofErr w:type="spellStart"/>
      <w:r w:rsidR="004D4091" w:rsidRPr="004D4091">
        <w:rPr>
          <w:rFonts w:ascii="Arial" w:hAnsi="Arial" w:cs="Arial"/>
          <w:sz w:val="22"/>
          <w:szCs w:val="22"/>
        </w:rPr>
        <w:t>diaminetetraacetic</w:t>
      </w:r>
      <w:proofErr w:type="spellEnd"/>
      <w:r w:rsidR="004D4091" w:rsidRPr="004D4091">
        <w:rPr>
          <w:rFonts w:ascii="Arial" w:hAnsi="Arial" w:cs="Arial"/>
          <w:sz w:val="22"/>
          <w:szCs w:val="22"/>
        </w:rPr>
        <w:t xml:space="preserve"> acid (EDTA), 1mM </w:t>
      </w:r>
      <w:proofErr w:type="spellStart"/>
      <w:r w:rsidR="004D4091" w:rsidRPr="004D4091">
        <w:rPr>
          <w:rFonts w:ascii="Arial" w:hAnsi="Arial" w:cs="Arial"/>
          <w:sz w:val="22"/>
          <w:szCs w:val="22"/>
        </w:rPr>
        <w:t>phenylmethylsulfonyl</w:t>
      </w:r>
      <w:proofErr w:type="spellEnd"/>
      <w:r w:rsidR="004D4091" w:rsidRPr="004D4091">
        <w:rPr>
          <w:rFonts w:ascii="Arial" w:hAnsi="Arial" w:cs="Arial"/>
          <w:sz w:val="22"/>
          <w:szCs w:val="22"/>
        </w:rPr>
        <w:t xml:space="preserve"> fluoride (PMSF), 1 mM sodium orthovanadate, 10mM sodium fluoride (</w:t>
      </w:r>
      <w:proofErr w:type="spellStart"/>
      <w:r w:rsidR="004D4091" w:rsidRPr="004D4091">
        <w:rPr>
          <w:rFonts w:ascii="Arial" w:hAnsi="Arial" w:cs="Arial"/>
          <w:sz w:val="22"/>
          <w:szCs w:val="22"/>
        </w:rPr>
        <w:t>NaF</w:t>
      </w:r>
      <w:proofErr w:type="spellEnd"/>
      <w:r w:rsidR="004D4091" w:rsidRPr="004D4091">
        <w:rPr>
          <w:rFonts w:ascii="Arial" w:hAnsi="Arial" w:cs="Arial"/>
          <w:sz w:val="22"/>
          <w:szCs w:val="22"/>
        </w:rPr>
        <w:t xml:space="preserve">), 1 protease inhibitor cocktail tablet) was used to lyse the cells. The lysate was allowed to incubate on ice for 10 minutes. The cells were sonicated 3 times for 10 seconds each using the Sonic </w:t>
      </w:r>
      <w:proofErr w:type="spellStart"/>
      <w:r w:rsidR="004D4091" w:rsidRPr="004D4091">
        <w:rPr>
          <w:rFonts w:ascii="Arial" w:hAnsi="Arial" w:cs="Arial"/>
          <w:sz w:val="22"/>
          <w:szCs w:val="22"/>
        </w:rPr>
        <w:t>Dismembrator</w:t>
      </w:r>
      <w:proofErr w:type="spellEnd"/>
      <w:r w:rsidR="004D4091" w:rsidRPr="004D4091">
        <w:rPr>
          <w:rFonts w:ascii="Arial" w:hAnsi="Arial" w:cs="Arial"/>
          <w:sz w:val="22"/>
          <w:szCs w:val="22"/>
        </w:rPr>
        <w:t xml:space="preserve"> (Model 100, Thermo-Fischer Scientific, Waltham, MA). Protein concentration was determined using Pierce bicinchoninic acid (BCA) Protein Assay kit (</w:t>
      </w:r>
      <w:proofErr w:type="spellStart"/>
      <w:r w:rsidR="004D4091" w:rsidRPr="004D4091">
        <w:rPr>
          <w:rFonts w:ascii="Arial" w:hAnsi="Arial" w:cs="Arial"/>
          <w:sz w:val="22"/>
          <w:szCs w:val="22"/>
        </w:rPr>
        <w:t>Thermo</w:t>
      </w:r>
      <w:proofErr w:type="spellEnd"/>
      <w:r w:rsidR="004D4091" w:rsidRPr="004D4091">
        <w:rPr>
          <w:rFonts w:ascii="Arial" w:hAnsi="Arial" w:cs="Arial"/>
          <w:sz w:val="22"/>
          <w:szCs w:val="22"/>
        </w:rPr>
        <w:t xml:space="preserve"> Fisher Scientific, Waltham, MA, Cat.23225). Based on the protein concentration, protein samples were prepared (20μg – 50μg) using 2X or 4X Laemmli buffer (</w:t>
      </w:r>
      <w:proofErr w:type="spellStart"/>
      <w:r w:rsidR="004D4091" w:rsidRPr="004D4091">
        <w:rPr>
          <w:rFonts w:ascii="Arial" w:hAnsi="Arial" w:cs="Arial"/>
          <w:sz w:val="22"/>
          <w:szCs w:val="22"/>
        </w:rPr>
        <w:t>BioRad</w:t>
      </w:r>
      <w:proofErr w:type="spellEnd"/>
      <w:r w:rsidR="004D4091" w:rsidRPr="004D4091">
        <w:rPr>
          <w:rFonts w:ascii="Arial" w:hAnsi="Arial" w:cs="Arial"/>
          <w:sz w:val="22"/>
          <w:szCs w:val="22"/>
        </w:rPr>
        <w:t>, Hercules, CA, Cat. 1610737 or 1610747) and beta-</w:t>
      </w:r>
      <w:proofErr w:type="spellStart"/>
      <w:r w:rsidR="004D4091" w:rsidRPr="004D4091">
        <w:rPr>
          <w:rFonts w:ascii="Arial" w:hAnsi="Arial" w:cs="Arial"/>
          <w:sz w:val="22"/>
          <w:szCs w:val="22"/>
        </w:rPr>
        <w:t>mercaptoethanol</w:t>
      </w:r>
      <w:proofErr w:type="spellEnd"/>
      <w:r w:rsidR="004D4091" w:rsidRPr="004D4091">
        <w:rPr>
          <w:rFonts w:ascii="Arial" w:hAnsi="Arial" w:cs="Arial"/>
          <w:sz w:val="22"/>
          <w:szCs w:val="22"/>
        </w:rPr>
        <w:t xml:space="preserve"> (</w:t>
      </w:r>
      <w:proofErr w:type="spellStart"/>
      <w:r w:rsidR="004D4091" w:rsidRPr="004D4091">
        <w:rPr>
          <w:rFonts w:ascii="Arial" w:hAnsi="Arial" w:cs="Arial"/>
          <w:sz w:val="22"/>
          <w:szCs w:val="22"/>
        </w:rPr>
        <w:t>Thermo</w:t>
      </w:r>
      <w:proofErr w:type="spellEnd"/>
      <w:r w:rsidR="004D4091" w:rsidRPr="004D4091">
        <w:rPr>
          <w:rFonts w:ascii="Arial" w:hAnsi="Arial" w:cs="Arial"/>
          <w:sz w:val="22"/>
          <w:szCs w:val="22"/>
        </w:rPr>
        <w:t xml:space="preserve"> Fischer Scientific, Waltham, MA, Cat. BP-176-100). The samples were boiled at 95</w:t>
      </w:r>
      <w:r w:rsidR="004D4091" w:rsidRPr="004D4091">
        <w:rPr>
          <w:rFonts w:ascii="Arial" w:hAnsi="Arial" w:cs="Arial"/>
          <w:sz w:val="22"/>
          <w:szCs w:val="22"/>
          <w:vertAlign w:val="superscript"/>
        </w:rPr>
        <w:t>0</w:t>
      </w:r>
      <w:r w:rsidR="004D4091" w:rsidRPr="004D4091">
        <w:rPr>
          <w:rFonts w:ascii="Arial" w:hAnsi="Arial" w:cs="Arial"/>
          <w:sz w:val="22"/>
          <w:szCs w:val="22"/>
        </w:rPr>
        <w:t>C for 5 minutes. The denatured proteins were separated using a 7% tris-acetate PAGE gel (</w:t>
      </w:r>
      <w:proofErr w:type="spellStart"/>
      <w:r w:rsidR="004D4091" w:rsidRPr="004D4091">
        <w:rPr>
          <w:rFonts w:ascii="Arial" w:hAnsi="Arial" w:cs="Arial"/>
          <w:sz w:val="22"/>
          <w:szCs w:val="22"/>
        </w:rPr>
        <w:t>Thermo</w:t>
      </w:r>
      <w:proofErr w:type="spellEnd"/>
      <w:r w:rsidR="004D4091" w:rsidRPr="004D4091">
        <w:rPr>
          <w:rFonts w:ascii="Arial" w:hAnsi="Arial" w:cs="Arial"/>
          <w:sz w:val="22"/>
          <w:szCs w:val="22"/>
        </w:rPr>
        <w:t xml:space="preserve"> Fisher Scientific, Waltham, MA, Cat. EA0358BOX) along with </w:t>
      </w:r>
      <w:proofErr w:type="spellStart"/>
      <w:r w:rsidR="004D4091" w:rsidRPr="004D4091">
        <w:rPr>
          <w:rFonts w:ascii="Arial" w:hAnsi="Arial" w:cs="Arial"/>
          <w:sz w:val="22"/>
          <w:szCs w:val="22"/>
        </w:rPr>
        <w:t>HiMark</w:t>
      </w:r>
      <w:proofErr w:type="spellEnd"/>
      <w:r w:rsidR="004D4091" w:rsidRPr="004D4091">
        <w:rPr>
          <w:rFonts w:ascii="Arial" w:hAnsi="Arial" w:cs="Arial"/>
          <w:sz w:val="22"/>
          <w:szCs w:val="22"/>
        </w:rPr>
        <w:t xml:space="preserve"> </w:t>
      </w:r>
      <w:proofErr w:type="spellStart"/>
      <w:r w:rsidR="004D4091" w:rsidRPr="004D4091">
        <w:rPr>
          <w:rFonts w:ascii="Arial" w:hAnsi="Arial" w:cs="Arial"/>
          <w:sz w:val="22"/>
          <w:szCs w:val="22"/>
        </w:rPr>
        <w:t>Prestained</w:t>
      </w:r>
      <w:proofErr w:type="spellEnd"/>
      <w:r w:rsidR="004D4091" w:rsidRPr="004D4091">
        <w:rPr>
          <w:rFonts w:ascii="Arial" w:hAnsi="Arial" w:cs="Arial"/>
          <w:sz w:val="22"/>
          <w:szCs w:val="22"/>
        </w:rPr>
        <w:t xml:space="preserve"> protein standard (</w:t>
      </w:r>
      <w:proofErr w:type="spellStart"/>
      <w:r w:rsidR="004D4091" w:rsidRPr="004D4091">
        <w:rPr>
          <w:rFonts w:ascii="Arial" w:hAnsi="Arial" w:cs="Arial"/>
          <w:sz w:val="22"/>
          <w:szCs w:val="22"/>
        </w:rPr>
        <w:t>Thermo</w:t>
      </w:r>
      <w:proofErr w:type="spellEnd"/>
      <w:r w:rsidR="004D4091" w:rsidRPr="004D4091">
        <w:rPr>
          <w:rFonts w:ascii="Arial" w:hAnsi="Arial" w:cs="Arial"/>
          <w:sz w:val="22"/>
          <w:szCs w:val="22"/>
        </w:rPr>
        <w:t xml:space="preserve"> Fisher Scientific, Waltham, MA, Cat. LC5699) at 150V for 60 minutes. 20X </w:t>
      </w:r>
      <w:proofErr w:type="spellStart"/>
      <w:r w:rsidR="004D4091" w:rsidRPr="004D4091">
        <w:rPr>
          <w:rFonts w:ascii="Arial" w:hAnsi="Arial" w:cs="Arial"/>
          <w:sz w:val="22"/>
          <w:szCs w:val="22"/>
        </w:rPr>
        <w:t>NuPAGE</w:t>
      </w:r>
      <w:proofErr w:type="spellEnd"/>
      <w:r w:rsidR="004D4091" w:rsidRPr="004D4091">
        <w:rPr>
          <w:rFonts w:ascii="Arial" w:hAnsi="Arial" w:cs="Arial"/>
          <w:sz w:val="22"/>
          <w:szCs w:val="22"/>
        </w:rPr>
        <w:t xml:space="preserve"> Tris-Acetate SDS Running Buffer (</w:t>
      </w:r>
      <w:proofErr w:type="spellStart"/>
      <w:r w:rsidR="004D4091" w:rsidRPr="004D4091">
        <w:rPr>
          <w:rFonts w:ascii="Arial" w:hAnsi="Arial" w:cs="Arial"/>
          <w:sz w:val="22"/>
          <w:szCs w:val="22"/>
        </w:rPr>
        <w:t>Thermo</w:t>
      </w:r>
      <w:proofErr w:type="spellEnd"/>
      <w:r w:rsidR="004D4091" w:rsidRPr="004D4091">
        <w:rPr>
          <w:rFonts w:ascii="Arial" w:hAnsi="Arial" w:cs="Arial"/>
          <w:sz w:val="22"/>
          <w:szCs w:val="22"/>
        </w:rPr>
        <w:t xml:space="preserve"> Fisher Scientific, Waltham, MA, Cat. LA0041) was diluted using deionized water. Separated proteins were then transferred onto Polyvinylidene difluoride (PVDF) membrane. After transfer, the membrane was rewetted in methanol and water and was blocked using 5% </w:t>
      </w:r>
      <w:r w:rsidR="004D4091" w:rsidRPr="004D4091">
        <w:rPr>
          <w:rFonts w:ascii="Arial" w:hAnsi="Arial" w:cs="Arial"/>
          <w:sz w:val="22"/>
          <w:szCs w:val="22"/>
        </w:rPr>
        <w:lastRenderedPageBreak/>
        <w:t>non-fat dry milk for 1 hour at room temperature. TBST (5 mM Tris-HCl, 5 mM Tris-base, 150 mM NaCl, 0.05% Tween-20, and 0.2% NP-40 at pH 8.0) was used for the dilution of non-fat dry milk. After blocking, the membrane was incubated overnight with primary antibody at 4</w:t>
      </w:r>
      <w:r w:rsidR="004D4091" w:rsidRPr="004D4091">
        <w:rPr>
          <w:rFonts w:ascii="Arial" w:hAnsi="Arial" w:cs="Arial"/>
          <w:sz w:val="22"/>
          <w:szCs w:val="22"/>
          <w:vertAlign w:val="superscript"/>
        </w:rPr>
        <w:t>0</w:t>
      </w:r>
      <w:r w:rsidR="004D4091" w:rsidRPr="004D4091">
        <w:rPr>
          <w:rFonts w:ascii="Arial" w:hAnsi="Arial" w:cs="Arial"/>
          <w:sz w:val="22"/>
          <w:szCs w:val="22"/>
        </w:rPr>
        <w:t>C with constant shaking.</w:t>
      </w:r>
      <w:r w:rsidR="004D4091">
        <w:rPr>
          <w:rFonts w:ascii="Arial" w:hAnsi="Arial" w:cs="Arial"/>
          <w:sz w:val="22"/>
          <w:szCs w:val="22"/>
        </w:rPr>
        <w:t xml:space="preserve"> </w:t>
      </w:r>
      <w:r w:rsidR="004D4091" w:rsidRPr="004D4091">
        <w:rPr>
          <w:rFonts w:ascii="Arial" w:hAnsi="Arial" w:cs="Arial"/>
          <w:sz w:val="22"/>
          <w:szCs w:val="22"/>
        </w:rPr>
        <w:t xml:space="preserve">The following day, the membrane was washed 3 times using TBST. Each wash was for 10 minutes, and blots were shaken vigorously at room temperature. After the washes, an HRP-conjugated secondary antibody was added and the membrane was incubated at room temperature for 1 hour, with constant rocking. The dilution buffer for the secondary antibody was the same as the one used for primary antibody. The membrane was again washed 3 times using TBST. After the final wash, proteins were detected using enhanced chemiluminescence (ECL) Western blotting substrate (Pierce, Rockford, IL) or </w:t>
      </w:r>
      <w:proofErr w:type="spellStart"/>
      <w:r w:rsidR="004D4091" w:rsidRPr="004D4091">
        <w:rPr>
          <w:rFonts w:ascii="Arial" w:hAnsi="Arial" w:cs="Arial"/>
          <w:sz w:val="22"/>
          <w:szCs w:val="22"/>
        </w:rPr>
        <w:t>SuperSignal</w:t>
      </w:r>
      <w:proofErr w:type="spellEnd"/>
      <w:r w:rsidR="004D4091" w:rsidRPr="004D4091">
        <w:rPr>
          <w:rFonts w:ascii="Arial" w:hAnsi="Arial" w:cs="Arial"/>
          <w:sz w:val="22"/>
          <w:szCs w:val="22"/>
        </w:rPr>
        <w:t>® West Dura (</w:t>
      </w:r>
      <w:proofErr w:type="spellStart"/>
      <w:r w:rsidR="004D4091" w:rsidRPr="004D4091">
        <w:rPr>
          <w:rFonts w:ascii="Arial" w:hAnsi="Arial" w:cs="Arial"/>
          <w:sz w:val="22"/>
          <w:szCs w:val="22"/>
        </w:rPr>
        <w:t>Thermo</w:t>
      </w:r>
      <w:proofErr w:type="spellEnd"/>
      <w:r w:rsidR="004D4091" w:rsidRPr="004D4091">
        <w:rPr>
          <w:rFonts w:ascii="Arial" w:hAnsi="Arial" w:cs="Arial"/>
          <w:sz w:val="22"/>
          <w:szCs w:val="22"/>
        </w:rPr>
        <w:t xml:space="preserve"> Fischer Scientific, Waltham, MA) added in 1:1 volume. The membrane was incubated for 1 minute at room temperature. Protein bands were visualized by exposing the membrane to X-ray film in the dark room. To </w:t>
      </w:r>
      <w:proofErr w:type="spellStart"/>
      <w:r w:rsidR="004D4091" w:rsidRPr="004D4091">
        <w:rPr>
          <w:rFonts w:ascii="Arial" w:hAnsi="Arial" w:cs="Arial"/>
          <w:sz w:val="22"/>
          <w:szCs w:val="22"/>
        </w:rPr>
        <w:t>reprobe</w:t>
      </w:r>
      <w:proofErr w:type="spellEnd"/>
      <w:r w:rsidR="004D4091" w:rsidRPr="004D4091">
        <w:rPr>
          <w:rFonts w:ascii="Arial" w:hAnsi="Arial" w:cs="Arial"/>
          <w:sz w:val="22"/>
          <w:szCs w:val="22"/>
        </w:rPr>
        <w:t xml:space="preserve"> membranes, they were washed in TBST at room temperature for 10 minutes and then stripped using Restore Plus Western Blot Stripping buffer (</w:t>
      </w:r>
      <w:proofErr w:type="spellStart"/>
      <w:r w:rsidR="004D4091" w:rsidRPr="004D4091">
        <w:rPr>
          <w:rFonts w:ascii="Arial" w:hAnsi="Arial" w:cs="Arial"/>
          <w:sz w:val="22"/>
          <w:szCs w:val="22"/>
        </w:rPr>
        <w:t>Thermo</w:t>
      </w:r>
      <w:proofErr w:type="spellEnd"/>
      <w:r w:rsidR="004D4091" w:rsidRPr="004D4091">
        <w:rPr>
          <w:rFonts w:ascii="Arial" w:hAnsi="Arial" w:cs="Arial"/>
          <w:sz w:val="22"/>
          <w:szCs w:val="22"/>
        </w:rPr>
        <w:t xml:space="preserve"> Fischer Scientific, Waltham, MA). The membrane was covered with stripping buffer (β-</w:t>
      </w:r>
      <w:proofErr w:type="spellStart"/>
      <w:r w:rsidR="004D4091" w:rsidRPr="004D4091">
        <w:rPr>
          <w:rFonts w:ascii="Arial" w:hAnsi="Arial" w:cs="Arial"/>
          <w:sz w:val="22"/>
          <w:szCs w:val="22"/>
        </w:rPr>
        <w:t>mercaptoethanol</w:t>
      </w:r>
      <w:proofErr w:type="spellEnd"/>
      <w:r w:rsidR="004D4091" w:rsidRPr="004D4091">
        <w:rPr>
          <w:rFonts w:ascii="Arial" w:hAnsi="Arial" w:cs="Arial"/>
          <w:sz w:val="22"/>
          <w:szCs w:val="22"/>
        </w:rPr>
        <w:t>) and incubated for 20 minutes at 37</w:t>
      </w:r>
      <w:r w:rsidR="004D4091" w:rsidRPr="00837C17">
        <w:rPr>
          <w:rFonts w:ascii="Arial" w:hAnsi="Arial" w:cs="Arial"/>
          <w:sz w:val="22"/>
          <w:szCs w:val="22"/>
          <w:vertAlign w:val="superscript"/>
        </w:rPr>
        <w:t>0</w:t>
      </w:r>
      <w:r w:rsidR="004D4091" w:rsidRPr="004D4091">
        <w:rPr>
          <w:rFonts w:ascii="Arial" w:hAnsi="Arial" w:cs="Arial"/>
          <w:sz w:val="22"/>
          <w:szCs w:val="22"/>
        </w:rPr>
        <w:t>C. The membrane was washed three times using TBST as mentioned before, blocked and re-probed as described above.</w:t>
      </w:r>
    </w:p>
    <w:p w14:paraId="2B9A6F16" w14:textId="77777777" w:rsidR="00730E04" w:rsidRDefault="00730E04" w:rsidP="004D4091">
      <w:pPr>
        <w:spacing w:line="480" w:lineRule="auto"/>
        <w:rPr>
          <w:rFonts w:ascii="Arial" w:hAnsi="Arial" w:cs="Arial"/>
          <w:sz w:val="22"/>
          <w:szCs w:val="22"/>
        </w:rPr>
      </w:pPr>
    </w:p>
    <w:p w14:paraId="72901726" w14:textId="69785E0E" w:rsidR="006C0B8E" w:rsidRPr="002A01B6" w:rsidRDefault="002A01B6" w:rsidP="004D4091">
      <w:pPr>
        <w:spacing w:line="480" w:lineRule="auto"/>
        <w:rPr>
          <w:rFonts w:ascii="Arial" w:hAnsi="Arial" w:cs="Arial"/>
          <w:i/>
          <w:iCs/>
          <w:sz w:val="20"/>
          <w:szCs w:val="20"/>
        </w:rPr>
      </w:pPr>
      <w:r w:rsidRPr="002A01B6">
        <w:rPr>
          <w:rFonts w:ascii="Arial" w:hAnsi="Arial" w:cs="Arial"/>
          <w:bCs/>
          <w:i/>
          <w:sz w:val="22"/>
          <w:szCs w:val="22"/>
        </w:rPr>
        <w:t>Real Time PCR of RNA from MCF-7 Cells.</w:t>
      </w:r>
    </w:p>
    <w:p w14:paraId="690B902D" w14:textId="77777777" w:rsidR="006C0B8E" w:rsidRPr="006C0B8E" w:rsidRDefault="006C0B8E" w:rsidP="006C0B8E">
      <w:pPr>
        <w:spacing w:line="480" w:lineRule="auto"/>
        <w:rPr>
          <w:rFonts w:ascii="Arial" w:hAnsi="Arial" w:cs="Arial"/>
          <w:bCs/>
          <w:i/>
          <w:sz w:val="22"/>
          <w:szCs w:val="22"/>
        </w:rPr>
      </w:pPr>
      <w:r w:rsidRPr="006C0B8E">
        <w:rPr>
          <w:rFonts w:ascii="Arial" w:hAnsi="Arial" w:cs="Arial"/>
          <w:bCs/>
          <w:iCs/>
          <w:sz w:val="22"/>
          <w:szCs w:val="22"/>
        </w:rPr>
        <w:t xml:space="preserve">Total RNA was extracted from MCF-7 cells according to the manufacturer’s protocol using the </w:t>
      </w:r>
      <w:proofErr w:type="spellStart"/>
      <w:r w:rsidRPr="006C0B8E">
        <w:rPr>
          <w:rFonts w:ascii="Arial" w:hAnsi="Arial" w:cs="Arial"/>
          <w:bCs/>
          <w:iCs/>
          <w:sz w:val="22"/>
          <w:szCs w:val="22"/>
        </w:rPr>
        <w:t>RiboPure</w:t>
      </w:r>
      <w:proofErr w:type="spellEnd"/>
      <w:r w:rsidRPr="006C0B8E">
        <w:rPr>
          <w:rFonts w:ascii="Arial" w:hAnsi="Arial" w:cs="Arial"/>
          <w:bCs/>
          <w:iCs/>
          <w:sz w:val="22"/>
          <w:szCs w:val="22"/>
        </w:rPr>
        <w:t xml:space="preserve"> RNA Purification Kit (</w:t>
      </w:r>
      <w:proofErr w:type="spellStart"/>
      <w:r w:rsidRPr="006C0B8E">
        <w:rPr>
          <w:rFonts w:ascii="Arial" w:hAnsi="Arial" w:cs="Arial"/>
          <w:bCs/>
          <w:iCs/>
          <w:sz w:val="22"/>
          <w:szCs w:val="22"/>
        </w:rPr>
        <w:t>Ambion</w:t>
      </w:r>
      <w:proofErr w:type="spellEnd"/>
      <w:r w:rsidRPr="006C0B8E">
        <w:rPr>
          <w:rFonts w:ascii="Arial" w:hAnsi="Arial" w:cs="Arial"/>
          <w:bCs/>
          <w:iCs/>
          <w:sz w:val="22"/>
          <w:szCs w:val="22"/>
        </w:rPr>
        <w:t xml:space="preserve">, Austin, TX, Catalogue # AM1924). RNA concentration was measured using a </w:t>
      </w:r>
      <w:proofErr w:type="spellStart"/>
      <w:r w:rsidRPr="006C0B8E">
        <w:rPr>
          <w:rFonts w:ascii="Arial" w:hAnsi="Arial" w:cs="Arial"/>
          <w:bCs/>
          <w:iCs/>
          <w:sz w:val="22"/>
          <w:szCs w:val="22"/>
        </w:rPr>
        <w:t>NanoDrop</w:t>
      </w:r>
      <w:proofErr w:type="spellEnd"/>
      <w:r w:rsidRPr="006C0B8E">
        <w:rPr>
          <w:rFonts w:ascii="Arial" w:hAnsi="Arial" w:cs="Arial"/>
          <w:bCs/>
          <w:iCs/>
          <w:sz w:val="22"/>
          <w:szCs w:val="22"/>
        </w:rPr>
        <w:t xml:space="preserve"> Spectrophotometer (Fisher Scientific, Waltham, MA). Total RNA was reverse transcribed to DNA, according to the protocol using </w:t>
      </w:r>
      <w:proofErr w:type="spellStart"/>
      <w:r w:rsidRPr="006C0B8E">
        <w:rPr>
          <w:rFonts w:ascii="Arial" w:hAnsi="Arial" w:cs="Arial"/>
          <w:bCs/>
          <w:iCs/>
          <w:sz w:val="22"/>
          <w:szCs w:val="22"/>
        </w:rPr>
        <w:t>Multiscribe</w:t>
      </w:r>
      <w:proofErr w:type="spellEnd"/>
      <w:r w:rsidRPr="006C0B8E">
        <w:rPr>
          <w:rFonts w:ascii="Arial" w:hAnsi="Arial" w:cs="Arial"/>
          <w:bCs/>
          <w:iCs/>
          <w:sz w:val="22"/>
          <w:szCs w:val="22"/>
        </w:rPr>
        <w:t xml:space="preserve">™ Reverse Transcriptase Kit (Cat N8080234, Applied Biosystems, Foster City, CA). The reaction was performed using a thermocycler at 25°C for 10 min, 48°C for 30 minutes, 95°C for 5 minutes, </w:t>
      </w:r>
      <w:r w:rsidRPr="006C0B8E">
        <w:rPr>
          <w:rFonts w:ascii="Arial" w:hAnsi="Arial" w:cs="Arial"/>
          <w:bCs/>
          <w:iCs/>
          <w:sz w:val="22"/>
          <w:szCs w:val="22"/>
        </w:rPr>
        <w:lastRenderedPageBreak/>
        <w:t xml:space="preserve">25°C for 60 minutes. Real-time PCR was performed using </w:t>
      </w:r>
      <w:proofErr w:type="spellStart"/>
      <w:r w:rsidRPr="006C0B8E">
        <w:rPr>
          <w:rFonts w:ascii="Arial" w:hAnsi="Arial" w:cs="Arial"/>
          <w:bCs/>
          <w:iCs/>
          <w:sz w:val="22"/>
          <w:szCs w:val="22"/>
        </w:rPr>
        <w:t>iTaq</w:t>
      </w:r>
      <w:proofErr w:type="spellEnd"/>
      <w:r w:rsidRPr="006C0B8E">
        <w:rPr>
          <w:rFonts w:ascii="Arial" w:hAnsi="Arial" w:cs="Arial"/>
          <w:bCs/>
          <w:iCs/>
          <w:sz w:val="22"/>
          <w:szCs w:val="22"/>
        </w:rPr>
        <w:t xml:space="preserve">™ SYBR® Green </w:t>
      </w:r>
      <w:proofErr w:type="spellStart"/>
      <w:r w:rsidRPr="006C0B8E">
        <w:rPr>
          <w:rFonts w:ascii="Arial" w:hAnsi="Arial" w:cs="Arial"/>
          <w:bCs/>
          <w:iCs/>
          <w:sz w:val="22"/>
          <w:szCs w:val="22"/>
        </w:rPr>
        <w:t>Supermix</w:t>
      </w:r>
      <w:proofErr w:type="spellEnd"/>
      <w:r w:rsidRPr="006C0B8E">
        <w:rPr>
          <w:rFonts w:ascii="Arial" w:hAnsi="Arial" w:cs="Arial"/>
          <w:bCs/>
          <w:iCs/>
          <w:sz w:val="22"/>
          <w:szCs w:val="22"/>
        </w:rPr>
        <w:t xml:space="preserve"> (</w:t>
      </w:r>
      <w:proofErr w:type="spellStart"/>
      <w:r w:rsidRPr="006C0B8E">
        <w:rPr>
          <w:rFonts w:ascii="Arial" w:hAnsi="Arial" w:cs="Arial"/>
          <w:bCs/>
          <w:iCs/>
          <w:sz w:val="22"/>
          <w:szCs w:val="22"/>
        </w:rPr>
        <w:t>Biorad</w:t>
      </w:r>
      <w:proofErr w:type="spellEnd"/>
      <w:r w:rsidRPr="006C0B8E">
        <w:rPr>
          <w:rFonts w:ascii="Arial" w:hAnsi="Arial" w:cs="Arial"/>
          <w:bCs/>
          <w:iCs/>
          <w:sz w:val="22"/>
          <w:szCs w:val="22"/>
        </w:rPr>
        <w:t xml:space="preserve">, Hercules, CA) to detect transcript levels. The PCR was performed using the </w:t>
      </w:r>
      <w:proofErr w:type="spellStart"/>
      <w:r w:rsidRPr="006C0B8E">
        <w:rPr>
          <w:rFonts w:ascii="Arial" w:hAnsi="Arial" w:cs="Arial"/>
          <w:bCs/>
          <w:iCs/>
          <w:sz w:val="22"/>
          <w:szCs w:val="22"/>
        </w:rPr>
        <w:t>StepOnePlus</w:t>
      </w:r>
      <w:proofErr w:type="spellEnd"/>
      <w:r w:rsidRPr="006C0B8E">
        <w:rPr>
          <w:rFonts w:ascii="Arial" w:hAnsi="Arial" w:cs="Arial"/>
          <w:bCs/>
          <w:iCs/>
          <w:sz w:val="22"/>
          <w:szCs w:val="22"/>
        </w:rPr>
        <w:t xml:space="preserve"> Real-Time thermocycler (Applied Biosystems, Foster City, CA) at the following temperatures and cycle times: 95°C for 10 minutes, 40 cycles of 95°C for 15 seconds. Hypoxanthine-guanine phosphoribosyl-transferase (HPRT) was used as a loading control to normalize Ct expression values for each gene transcript. Relative fold-change in transcript expression was calculated using the 2</w:t>
      </w:r>
      <w:r w:rsidRPr="006C0B8E">
        <w:rPr>
          <w:rFonts w:ascii="Arial" w:hAnsi="Arial" w:cs="Arial"/>
          <w:bCs/>
          <w:iCs/>
          <w:sz w:val="22"/>
          <w:szCs w:val="22"/>
          <w:vertAlign w:val="superscript"/>
        </w:rPr>
        <w:t>-ΔΔ</w:t>
      </w:r>
      <w:r w:rsidRPr="006C0B8E">
        <w:rPr>
          <w:rFonts w:ascii="Arial" w:hAnsi="Arial" w:cs="Arial"/>
          <w:bCs/>
          <w:iCs/>
          <w:sz w:val="22"/>
          <w:szCs w:val="22"/>
        </w:rPr>
        <w:t xml:space="preserve">Ct method. Primer sequences are listed in Supplementary Table 1. </w:t>
      </w:r>
    </w:p>
    <w:p w14:paraId="28FB911A" w14:textId="77777777" w:rsidR="00981B45" w:rsidRDefault="00981B45" w:rsidP="003E02AA">
      <w:pPr>
        <w:spacing w:line="480" w:lineRule="auto"/>
        <w:rPr>
          <w:rFonts w:ascii="Arial" w:hAnsi="Arial" w:cs="Arial"/>
          <w:bCs/>
          <w:i/>
          <w:sz w:val="22"/>
          <w:szCs w:val="22"/>
        </w:rPr>
      </w:pPr>
    </w:p>
    <w:p w14:paraId="43FAE863" w14:textId="5107880F" w:rsidR="003E02AA" w:rsidRPr="00981B45" w:rsidRDefault="00981B45" w:rsidP="003E02AA">
      <w:pPr>
        <w:spacing w:line="480" w:lineRule="auto"/>
        <w:rPr>
          <w:rFonts w:ascii="Arial" w:hAnsi="Arial" w:cs="Arial"/>
          <w:sz w:val="20"/>
          <w:szCs w:val="20"/>
        </w:rPr>
      </w:pPr>
      <w:r w:rsidRPr="00981B45">
        <w:rPr>
          <w:rFonts w:ascii="Arial" w:hAnsi="Arial" w:cs="Arial"/>
          <w:bCs/>
          <w:i/>
          <w:sz w:val="22"/>
          <w:szCs w:val="22"/>
        </w:rPr>
        <w:t>Chromatin Immunoprecipitation assay (</w:t>
      </w:r>
      <w:proofErr w:type="spellStart"/>
      <w:r w:rsidRPr="00981B45">
        <w:rPr>
          <w:rFonts w:ascii="Arial" w:hAnsi="Arial" w:cs="Arial"/>
          <w:bCs/>
          <w:i/>
          <w:sz w:val="22"/>
          <w:szCs w:val="22"/>
        </w:rPr>
        <w:t>ChIP</w:t>
      </w:r>
      <w:proofErr w:type="spellEnd"/>
      <w:r w:rsidRPr="00981B45">
        <w:rPr>
          <w:rFonts w:ascii="Arial" w:hAnsi="Arial" w:cs="Arial"/>
          <w:bCs/>
          <w:i/>
          <w:sz w:val="22"/>
          <w:szCs w:val="22"/>
        </w:rPr>
        <w:t>).</w:t>
      </w:r>
    </w:p>
    <w:p w14:paraId="06A9D0C2" w14:textId="2D1D78D4" w:rsidR="003E02AA" w:rsidRPr="003E02AA" w:rsidRDefault="00722AF0" w:rsidP="003E02AA">
      <w:pPr>
        <w:spacing w:line="480" w:lineRule="auto"/>
        <w:rPr>
          <w:rFonts w:ascii="Arial" w:hAnsi="Arial" w:cs="Arial"/>
          <w:bCs/>
          <w:i/>
          <w:sz w:val="22"/>
          <w:szCs w:val="22"/>
        </w:rPr>
      </w:pPr>
      <w:r>
        <w:rPr>
          <w:rFonts w:ascii="Arial" w:hAnsi="Arial" w:cs="Arial"/>
          <w:bCs/>
          <w:iCs/>
        </w:rPr>
        <w:t xml:space="preserve">MCF-7 cells generously provided by Dr. V. Craig Jordan (University of Texas, MD Anderson Cancer Center, Houston, TX) were used for the </w:t>
      </w:r>
      <w:proofErr w:type="spellStart"/>
      <w:r>
        <w:rPr>
          <w:rFonts w:ascii="Arial" w:hAnsi="Arial" w:cs="Arial"/>
          <w:bCs/>
          <w:iCs/>
        </w:rPr>
        <w:t>ChIP</w:t>
      </w:r>
      <w:proofErr w:type="spellEnd"/>
      <w:r>
        <w:rPr>
          <w:rFonts w:ascii="Arial" w:hAnsi="Arial" w:cs="Arial"/>
          <w:bCs/>
          <w:iCs/>
        </w:rPr>
        <w:t xml:space="preserve"> assays. </w:t>
      </w:r>
      <w:r w:rsidRPr="00FB05D3">
        <w:rPr>
          <w:rFonts w:ascii="Arial" w:hAnsi="Arial" w:cs="Arial"/>
        </w:rPr>
        <w:t xml:space="preserve">DNA sequences were scanned 5 kilobases both upstream and downstream of the transcriptional start site of each gene, except </w:t>
      </w:r>
      <w:r w:rsidRPr="0003456E">
        <w:rPr>
          <w:rFonts w:ascii="Arial" w:hAnsi="Arial" w:cs="Arial"/>
          <w:i/>
          <w:iCs/>
        </w:rPr>
        <w:t>NOTCH1</w:t>
      </w:r>
      <w:r w:rsidRPr="00FB05D3">
        <w:rPr>
          <w:rFonts w:ascii="Arial" w:hAnsi="Arial" w:cs="Arial"/>
        </w:rPr>
        <w:t xml:space="preserve"> and </w:t>
      </w:r>
      <w:r w:rsidRPr="00892DF4">
        <w:rPr>
          <w:rFonts w:ascii="Arial" w:hAnsi="Arial" w:cs="Arial"/>
          <w:i/>
          <w:iCs/>
        </w:rPr>
        <w:t>NOTCH4</w:t>
      </w:r>
      <w:r w:rsidRPr="00FB05D3">
        <w:rPr>
          <w:rFonts w:ascii="Arial" w:hAnsi="Arial" w:cs="Arial"/>
        </w:rPr>
        <w:t>, and several putative and reported CSL elements (G/C/A/TTGG/AGAA/T/G)</w:t>
      </w:r>
      <w:r>
        <w:rPr>
          <w:rFonts w:ascii="Arial" w:hAnsi="Arial" w:cs="Arial"/>
        </w:rPr>
        <w:t xml:space="preserve"> were identified </w:t>
      </w:r>
      <w:r>
        <w:rPr>
          <w:rFonts w:ascii="Arial" w:hAnsi="Arial" w:cs="Arial"/>
        </w:rPr>
        <w:fldChar w:fldCharType="begin"/>
      </w:r>
      <w:r>
        <w:rPr>
          <w:rFonts w:ascii="Arial" w:hAnsi="Arial" w:cs="Arial"/>
        </w:rPr>
        <w:instrText xml:space="preserve"> ADDIN EN.CITE &lt;EndNote&gt;&lt;Cite&gt;&lt;Author&gt;Nam&lt;/Author&gt;&lt;Year&gt;2007&lt;/Year&gt;&lt;RecNum&gt;6082&lt;/RecNum&gt;&lt;DisplayText&gt;(43)&lt;/DisplayText&gt;&lt;record&gt;&lt;rec-number&gt;6082&lt;/rec-number&gt;&lt;foreign-keys&gt;&lt;key app="EN" db-id="0rvv9wwrcsvvvwepdpzxs2v0p9wf9frvwdtx" timestamp="1657136360"&gt;6082&lt;/key&gt;&lt;/foreign-keys&gt;&lt;ref-type name="Journal Article"&gt;17&lt;/ref-type&gt;&lt;contributors&gt;&lt;authors&gt;&lt;author&gt;Nam, Y.&lt;/author&gt;&lt;author&gt;Sliz, P.&lt;/author&gt;&lt;author&gt;Pear, W. S.&lt;/author&gt;&lt;author&gt;Aster, J. C.&lt;/author&gt;&lt;author&gt;Blacklow, S. C.&lt;/author&gt;&lt;/authors&gt;&lt;/contributors&gt;&lt;auth-address&gt;Department of Pathology, Brigham and Women&amp;apos;s Hospital, and Harvard Medical School, Boston, MA 02115, USA.&lt;/auth-address&gt;&lt;titles&gt;&lt;title&gt;Cooperative assembly of higher-order Notch complexes functions as a switch to induce transcription&lt;/title&gt;&lt;secondary-title&gt;Proc Natl Acad Sci U S A&lt;/secondary-title&gt;&lt;/titles&gt;&lt;periodical&gt;&lt;full-title&gt;Proc Natl Acad Sci U S A&lt;/full-title&gt;&lt;abbr-1&gt;Proceedings of the National Academy of Sciences of the United States of America&lt;/abbr-1&gt;&lt;/periodical&gt;&lt;pages&gt;2103-8&lt;/pages&gt;&lt;volume&gt;104&lt;/volume&gt;&lt;number&gt;7&lt;/number&gt;&lt;keywords&gt;&lt;keyword&gt;Ankyrins/metabolism&lt;/keyword&gt;&lt;keyword&gt;Binding Sites&lt;/keyword&gt;&lt;keyword&gt;Dimerization&lt;/keyword&gt;&lt;keyword&gt;Gene Expression Regulation&lt;/keyword&gt;&lt;keyword&gt;Humans&lt;/keyword&gt;&lt;keyword&gt;Immunoglobulin J Recombination Signal Sequence-Binding Protein/metabolism&lt;/keyword&gt;&lt;keyword&gt;Multiprotein Complexes/physiology&lt;/keyword&gt;&lt;keyword&gt;Promoter Regions, Genetic&lt;/keyword&gt;&lt;keyword&gt;Receptors, Notch/chemistry/*metabolism/physiology&lt;/keyword&gt;&lt;keyword&gt;*Transcription, Genetic&lt;/keyword&gt;&lt;keyword&gt;Transcriptional Activation&lt;/keyword&gt;&lt;/keywords&gt;&lt;dates&gt;&lt;year&gt;2007&lt;/year&gt;&lt;pub-dates&gt;&lt;date&gt;Feb 13&lt;/date&gt;&lt;/pub-dates&gt;&lt;/dates&gt;&lt;isbn&gt;0027-8424 (Print)&amp;#xD;0027-8424 (Linking)&lt;/isbn&gt;&lt;accession-num&gt;17284587&lt;/accession-num&gt;&lt;urls&gt;&lt;related-urls&gt;&lt;url&gt;https://www.ncbi.nlm.nih.gov/pubmed/17284587&lt;/url&gt;&lt;/related-urls&gt;&lt;/urls&gt;&lt;custom2&gt;PMC1892977&lt;/custom2&gt;&lt;electronic-resource-num&gt;10.1073/pnas.0611092104&lt;/electronic-resource-num&gt;&lt;/record&gt;&lt;/Cite&gt;&lt;/EndNote&gt;</w:instrText>
      </w:r>
      <w:r>
        <w:rPr>
          <w:rFonts w:ascii="Arial" w:hAnsi="Arial" w:cs="Arial"/>
        </w:rPr>
        <w:fldChar w:fldCharType="separate"/>
      </w:r>
      <w:r>
        <w:rPr>
          <w:rFonts w:ascii="Arial" w:hAnsi="Arial" w:cs="Arial"/>
          <w:noProof/>
        </w:rPr>
        <w:t>(</w:t>
      </w:r>
      <w:hyperlink w:anchor="_ENREF_43" w:tooltip="Nam, 2007 #6082" w:history="1">
        <w:r>
          <w:rPr>
            <w:rFonts w:ascii="Arial" w:hAnsi="Arial" w:cs="Arial"/>
            <w:noProof/>
          </w:rPr>
          <w:t>43</w:t>
        </w:r>
      </w:hyperlink>
      <w:r>
        <w:rPr>
          <w:rFonts w:ascii="Arial" w:hAnsi="Arial" w:cs="Arial"/>
          <w:noProof/>
        </w:rPr>
        <w:t>)</w:t>
      </w:r>
      <w:r>
        <w:rPr>
          <w:rFonts w:ascii="Arial" w:hAnsi="Arial" w:cs="Arial"/>
        </w:rPr>
        <w:fldChar w:fldCharType="end"/>
      </w:r>
      <w:r w:rsidRPr="00FB05D3">
        <w:rPr>
          <w:rFonts w:ascii="Arial" w:hAnsi="Arial" w:cs="Arial"/>
        </w:rPr>
        <w:t xml:space="preserve">. Primers were designed to flank each of the CSL </w:t>
      </w:r>
      <w:r>
        <w:rPr>
          <w:rFonts w:ascii="Arial" w:hAnsi="Arial" w:cs="Arial"/>
        </w:rPr>
        <w:t xml:space="preserve">binding </w:t>
      </w:r>
      <w:r w:rsidRPr="00FB05D3">
        <w:rPr>
          <w:rFonts w:ascii="Arial" w:hAnsi="Arial" w:cs="Arial"/>
        </w:rPr>
        <w:t xml:space="preserve">sites to achieve an approximate amplicon size of 100-150 nucleotides. </w:t>
      </w:r>
      <w:r>
        <w:rPr>
          <w:rFonts w:ascii="Arial" w:hAnsi="Arial" w:cs="Arial"/>
        </w:rPr>
        <w:t xml:space="preserve">Primer sequences for </w:t>
      </w:r>
      <w:proofErr w:type="spellStart"/>
      <w:r>
        <w:rPr>
          <w:rFonts w:ascii="Arial" w:hAnsi="Arial" w:cs="Arial"/>
        </w:rPr>
        <w:t>ChIP</w:t>
      </w:r>
      <w:proofErr w:type="spellEnd"/>
      <w:r>
        <w:rPr>
          <w:rFonts w:ascii="Arial" w:hAnsi="Arial" w:cs="Arial"/>
        </w:rPr>
        <w:t>-PCR are provided in Supplementary Table 2.</w:t>
      </w:r>
      <w:r w:rsidR="003E02AA" w:rsidRPr="003E02AA">
        <w:rPr>
          <w:rFonts w:ascii="Arial" w:hAnsi="Arial" w:cs="Arial"/>
          <w:sz w:val="22"/>
          <w:szCs w:val="22"/>
        </w:rPr>
        <w:t xml:space="preserve">The </w:t>
      </w:r>
      <w:proofErr w:type="spellStart"/>
      <w:r w:rsidR="003E02AA" w:rsidRPr="003E02AA">
        <w:rPr>
          <w:rFonts w:ascii="Arial" w:hAnsi="Arial" w:cs="Arial"/>
          <w:sz w:val="22"/>
          <w:szCs w:val="22"/>
        </w:rPr>
        <w:t>ChIP</w:t>
      </w:r>
      <w:proofErr w:type="spellEnd"/>
      <w:r w:rsidR="003E02AA" w:rsidRPr="003E02AA">
        <w:rPr>
          <w:rFonts w:ascii="Arial" w:hAnsi="Arial" w:cs="Arial"/>
          <w:sz w:val="22"/>
          <w:szCs w:val="22"/>
        </w:rPr>
        <w:t xml:space="preserve"> kit (</w:t>
      </w:r>
      <w:proofErr w:type="spellStart"/>
      <w:r w:rsidR="003E02AA" w:rsidRPr="003E02AA">
        <w:rPr>
          <w:rFonts w:ascii="Arial" w:hAnsi="Arial" w:cs="Arial"/>
          <w:sz w:val="22"/>
          <w:szCs w:val="22"/>
        </w:rPr>
        <w:t>Cat.No</w:t>
      </w:r>
      <w:proofErr w:type="spellEnd"/>
      <w:r w:rsidR="003E02AA" w:rsidRPr="003E02AA">
        <w:rPr>
          <w:rFonts w:ascii="Arial" w:hAnsi="Arial" w:cs="Arial"/>
          <w:sz w:val="22"/>
          <w:szCs w:val="22"/>
        </w:rPr>
        <w:t>. #9005, Cell Signaling Technology, Danvers, MA) was used to perform the studies according to the manufacturer’s instructions. In brief, 20x10</w:t>
      </w:r>
      <w:r w:rsidR="003E02AA" w:rsidRPr="003E02AA">
        <w:rPr>
          <w:rFonts w:ascii="Arial" w:hAnsi="Arial" w:cs="Arial"/>
          <w:sz w:val="22"/>
          <w:szCs w:val="22"/>
          <w:vertAlign w:val="superscript"/>
        </w:rPr>
        <w:t xml:space="preserve">6 </w:t>
      </w:r>
      <w:r w:rsidR="003E02AA" w:rsidRPr="003E02AA">
        <w:rPr>
          <w:rFonts w:ascii="Arial" w:hAnsi="Arial" w:cs="Arial"/>
          <w:sz w:val="22"/>
          <w:szCs w:val="22"/>
        </w:rPr>
        <w:t>cells were treated with 1% formaldehyde for 7 min and processed as recommended by the manufacturer. Chromatin was digested with Micrococcal Nuclease for 20 min at 37</w:t>
      </w:r>
      <w:r w:rsidR="003E02AA" w:rsidRPr="003E02AA">
        <w:rPr>
          <w:rFonts w:ascii="Arial" w:hAnsi="Arial" w:cs="Arial"/>
          <w:sz w:val="22"/>
          <w:szCs w:val="22"/>
          <w:vertAlign w:val="superscript"/>
        </w:rPr>
        <w:t>o</w:t>
      </w:r>
      <w:r w:rsidR="003E02AA" w:rsidRPr="003E02AA">
        <w:rPr>
          <w:rFonts w:ascii="Arial" w:hAnsi="Arial" w:cs="Arial"/>
          <w:sz w:val="22"/>
          <w:szCs w:val="22"/>
        </w:rPr>
        <w:t xml:space="preserve">C. A rabbit anti-human Notch1 C-20 antibody (RRID:AB_650335: </w:t>
      </w:r>
      <w:proofErr w:type="spellStart"/>
      <w:r w:rsidR="003E02AA" w:rsidRPr="003E02AA">
        <w:rPr>
          <w:rFonts w:ascii="Arial" w:hAnsi="Arial" w:cs="Arial"/>
          <w:sz w:val="22"/>
          <w:szCs w:val="22"/>
        </w:rPr>
        <w:t>Cat.No</w:t>
      </w:r>
      <w:proofErr w:type="spellEnd"/>
      <w:r w:rsidR="003E02AA" w:rsidRPr="003E02AA">
        <w:rPr>
          <w:rFonts w:ascii="Arial" w:hAnsi="Arial" w:cs="Arial"/>
          <w:sz w:val="22"/>
          <w:szCs w:val="22"/>
        </w:rPr>
        <w:t xml:space="preserve">. #sc-6014-R, Santa Cruz Biotechnology, Santa Cruz, CA) and rabbit anti-human Histone H3 (D2B12) XP were used as positive controls for the </w:t>
      </w:r>
      <w:proofErr w:type="spellStart"/>
      <w:r w:rsidR="003E02AA" w:rsidRPr="003E02AA">
        <w:rPr>
          <w:rFonts w:ascii="Arial" w:hAnsi="Arial" w:cs="Arial"/>
          <w:sz w:val="22"/>
          <w:szCs w:val="22"/>
        </w:rPr>
        <w:t>ChIP</w:t>
      </w:r>
      <w:proofErr w:type="spellEnd"/>
      <w:r w:rsidR="003E02AA" w:rsidRPr="003E02AA">
        <w:rPr>
          <w:rFonts w:ascii="Arial" w:hAnsi="Arial" w:cs="Arial"/>
          <w:sz w:val="22"/>
          <w:szCs w:val="22"/>
        </w:rPr>
        <w:t xml:space="preserve">. Isotype control rabbit IgG was used as a negative control. Ten </w:t>
      </w:r>
      <w:r w:rsidR="003E02AA" w:rsidRPr="003E02AA">
        <w:rPr>
          <w:rFonts w:ascii="Arial" w:hAnsi="Arial" w:cs="Arial"/>
          <w:sz w:val="22"/>
          <w:szCs w:val="22"/>
        </w:rPr>
        <w:sym w:font="Symbol" w:char="F06D"/>
      </w:r>
      <w:r w:rsidR="003E02AA" w:rsidRPr="003E02AA">
        <w:rPr>
          <w:rFonts w:ascii="Arial" w:hAnsi="Arial" w:cs="Arial"/>
          <w:sz w:val="22"/>
          <w:szCs w:val="22"/>
        </w:rPr>
        <w:t xml:space="preserve">g </w:t>
      </w:r>
      <w:r w:rsidR="003E02AA" w:rsidRPr="003E02AA">
        <w:rPr>
          <w:rFonts w:ascii="Arial" w:hAnsi="Arial" w:cs="Arial"/>
          <w:sz w:val="22"/>
          <w:szCs w:val="22"/>
        </w:rPr>
        <w:lastRenderedPageBreak/>
        <w:t xml:space="preserve">of chromatin was used for each precipitation. After elution, the amount of bound DNA was amplified by PCR using specific flanked primers and the </w:t>
      </w:r>
      <w:proofErr w:type="spellStart"/>
      <w:r w:rsidR="003E02AA" w:rsidRPr="003E02AA">
        <w:rPr>
          <w:rFonts w:ascii="Arial" w:hAnsi="Arial" w:cs="Arial"/>
          <w:sz w:val="22"/>
          <w:szCs w:val="22"/>
        </w:rPr>
        <w:t>iTaqUniversal</w:t>
      </w:r>
      <w:proofErr w:type="spellEnd"/>
      <w:r w:rsidR="003E02AA" w:rsidRPr="003E02AA">
        <w:rPr>
          <w:rFonts w:ascii="Arial" w:hAnsi="Arial" w:cs="Arial"/>
          <w:sz w:val="22"/>
          <w:szCs w:val="22"/>
        </w:rPr>
        <w:t xml:space="preserve"> SYBR Green </w:t>
      </w:r>
      <w:proofErr w:type="spellStart"/>
      <w:r w:rsidR="003E02AA" w:rsidRPr="003E02AA">
        <w:rPr>
          <w:rFonts w:ascii="Arial" w:hAnsi="Arial" w:cs="Arial"/>
          <w:sz w:val="22"/>
          <w:szCs w:val="22"/>
        </w:rPr>
        <w:t>Supermix</w:t>
      </w:r>
      <w:proofErr w:type="spellEnd"/>
      <w:r w:rsidR="003E02AA" w:rsidRPr="003E02AA">
        <w:rPr>
          <w:rFonts w:ascii="Arial" w:hAnsi="Arial" w:cs="Arial"/>
          <w:sz w:val="22"/>
          <w:szCs w:val="22"/>
        </w:rPr>
        <w:t xml:space="preserve"> protocol. Fold enrichment of Notch1 was calculated by subtracting the Notch1 specific Ct value from the IgG control Ct value yielding a ΔCT value for each gene region amplified and then calculating 2</w:t>
      </w:r>
      <w:r w:rsidR="003E02AA" w:rsidRPr="003E02AA">
        <w:rPr>
          <w:rFonts w:ascii="Arial" w:hAnsi="Arial" w:cs="Arial"/>
          <w:sz w:val="22"/>
          <w:szCs w:val="22"/>
          <w:vertAlign w:val="superscript"/>
        </w:rPr>
        <w:t>- ΔCT</w:t>
      </w:r>
      <w:r w:rsidR="003E02AA" w:rsidRPr="003E02AA">
        <w:rPr>
          <w:rFonts w:ascii="Arial" w:hAnsi="Arial" w:cs="Arial"/>
          <w:sz w:val="22"/>
          <w:szCs w:val="22"/>
        </w:rPr>
        <w:t xml:space="preserve">. </w:t>
      </w:r>
    </w:p>
    <w:p w14:paraId="1EAAEC3D" w14:textId="77777777" w:rsidR="001D0470" w:rsidRDefault="001D0470" w:rsidP="00BB1EDE">
      <w:pPr>
        <w:spacing w:line="480" w:lineRule="auto"/>
        <w:rPr>
          <w:rFonts w:ascii="Arial" w:hAnsi="Arial" w:cs="Arial"/>
          <w:bCs/>
          <w:i/>
          <w:sz w:val="22"/>
          <w:szCs w:val="22"/>
        </w:rPr>
      </w:pPr>
    </w:p>
    <w:p w14:paraId="598CB6C0" w14:textId="25D605D8" w:rsidR="00BB1EDE" w:rsidRPr="001D0470" w:rsidRDefault="001D0470" w:rsidP="00BB1EDE">
      <w:pPr>
        <w:spacing w:line="480" w:lineRule="auto"/>
        <w:rPr>
          <w:rFonts w:ascii="Arial" w:hAnsi="Arial" w:cs="Arial"/>
          <w:i/>
          <w:sz w:val="20"/>
          <w:szCs w:val="20"/>
        </w:rPr>
      </w:pPr>
      <w:proofErr w:type="spellStart"/>
      <w:r w:rsidRPr="001D0470">
        <w:rPr>
          <w:rFonts w:ascii="Arial" w:hAnsi="Arial" w:cs="Arial"/>
          <w:bCs/>
          <w:i/>
          <w:sz w:val="22"/>
          <w:szCs w:val="22"/>
        </w:rPr>
        <w:t>Mammosphere</w:t>
      </w:r>
      <w:proofErr w:type="spellEnd"/>
      <w:r w:rsidRPr="001D0470">
        <w:rPr>
          <w:rFonts w:ascii="Arial" w:hAnsi="Arial" w:cs="Arial"/>
          <w:bCs/>
          <w:i/>
          <w:sz w:val="22"/>
          <w:szCs w:val="22"/>
        </w:rPr>
        <w:t xml:space="preserve"> Forming Assay</w:t>
      </w:r>
    </w:p>
    <w:p w14:paraId="3846F557" w14:textId="25F77DA1" w:rsidR="00BB1EDE" w:rsidRPr="00BB1EDE" w:rsidRDefault="0091633A" w:rsidP="00BB1EDE">
      <w:pPr>
        <w:spacing w:line="480" w:lineRule="auto"/>
        <w:rPr>
          <w:rFonts w:ascii="Arial" w:hAnsi="Arial" w:cs="Arial"/>
          <w:bCs/>
          <w:i/>
          <w:sz w:val="22"/>
          <w:szCs w:val="22"/>
        </w:rPr>
      </w:pPr>
      <w:r>
        <w:rPr>
          <w:rFonts w:ascii="Arial" w:hAnsi="Arial" w:cs="Arial"/>
        </w:rPr>
        <w:t xml:space="preserve">Both MCF-7 and BT474 cells were used for </w:t>
      </w:r>
      <w:proofErr w:type="spellStart"/>
      <w:r>
        <w:rPr>
          <w:rFonts w:ascii="Arial" w:hAnsi="Arial" w:cs="Arial"/>
        </w:rPr>
        <w:t>mammosphere</w:t>
      </w:r>
      <w:proofErr w:type="spellEnd"/>
      <w:r>
        <w:rPr>
          <w:rFonts w:ascii="Arial" w:hAnsi="Arial" w:cs="Arial"/>
        </w:rPr>
        <w:t xml:space="preserve"> forming assay. BT474 cells were purchased from the American Type Culture Collection (ATCC). Both cell lines were authenticated by STR profiling by ATCC</w:t>
      </w:r>
      <w:r w:rsidRPr="00FB05D3">
        <w:rPr>
          <w:rFonts w:ascii="Arial" w:hAnsi="Arial" w:cs="Arial"/>
        </w:rPr>
        <w:t xml:space="preserve">. </w:t>
      </w:r>
      <w:r w:rsidR="00BB1EDE" w:rsidRPr="00BB1EDE">
        <w:rPr>
          <w:rFonts w:ascii="Arial" w:hAnsi="Arial" w:cs="Arial"/>
          <w:sz w:val="22"/>
          <w:szCs w:val="22"/>
        </w:rPr>
        <w:t>Cells were plated at a density of 2 X 10</w:t>
      </w:r>
      <w:r w:rsidR="00BB1EDE" w:rsidRPr="00BB1EDE">
        <w:rPr>
          <w:rFonts w:ascii="Arial" w:hAnsi="Arial" w:cs="Arial"/>
          <w:sz w:val="22"/>
          <w:szCs w:val="22"/>
          <w:vertAlign w:val="superscript"/>
        </w:rPr>
        <w:t xml:space="preserve">6 </w:t>
      </w:r>
      <w:r w:rsidR="00BB1EDE" w:rsidRPr="00BB1EDE">
        <w:rPr>
          <w:rFonts w:ascii="Arial" w:hAnsi="Arial" w:cs="Arial"/>
          <w:sz w:val="22"/>
          <w:szCs w:val="22"/>
        </w:rPr>
        <w:t>cells per 10-cm</w:t>
      </w:r>
      <w:r w:rsidR="00BB1EDE" w:rsidRPr="00BB1EDE">
        <w:rPr>
          <w:rFonts w:ascii="Arial" w:hAnsi="Arial" w:cs="Arial"/>
          <w:sz w:val="22"/>
          <w:szCs w:val="22"/>
          <w:vertAlign w:val="superscript"/>
        </w:rPr>
        <w:t>2</w:t>
      </w:r>
      <w:r w:rsidR="00BB1EDE" w:rsidRPr="00BB1EDE">
        <w:rPr>
          <w:rFonts w:ascii="Arial" w:hAnsi="Arial" w:cs="Arial"/>
          <w:sz w:val="22"/>
          <w:szCs w:val="22"/>
        </w:rPr>
        <w:t xml:space="preserve"> dish.  The cells were either transfected according to the manufacturer’s protocol with siRNA (Supplementary Table 3) using Lipofectamine </w:t>
      </w:r>
      <w:proofErr w:type="spellStart"/>
      <w:r w:rsidR="00BB1EDE" w:rsidRPr="00BB1EDE">
        <w:rPr>
          <w:rFonts w:ascii="Arial" w:hAnsi="Arial" w:cs="Arial"/>
          <w:sz w:val="22"/>
          <w:szCs w:val="22"/>
        </w:rPr>
        <w:t>RNAiMAX</w:t>
      </w:r>
      <w:proofErr w:type="spellEnd"/>
      <w:r w:rsidR="00BB1EDE" w:rsidRPr="00BB1EDE">
        <w:rPr>
          <w:rFonts w:ascii="Arial" w:hAnsi="Arial" w:cs="Arial"/>
          <w:sz w:val="22"/>
          <w:szCs w:val="22"/>
        </w:rPr>
        <w:t xml:space="preserve"> (cat# 13778, Life Technologies, Grand Island, NY) or a vector-harboring a cDNA for the gene of interest (Supplementary Table 3) using Lipofectamine 3000 (cat L3000, Life Technologies, Grand Island, NY), to knock down or overexpress genes, respectively.  The cells were grown in E2 containing phenol red containing RPMI plus 10% fetal bovine serum (FBS) (cat 100-106, Gemini Bio-Products, West Sacramento, CA) or deprived of E2 in phenol red free RPMI plus 10% Charcoal Dextran stripped FBS (CSS) (cat 100-119, Gemini Bio-Products, West Sacramento, CA).  MCF-7 cells were also grown in the presence of E2 +/- 1μM 4-hydroxytamoxifen (Cat# H6278, Sigma Aldrich, St. Louis, MO) for 72 hours. After 72 hours, 5 X10</w:t>
      </w:r>
      <w:r w:rsidR="00BB1EDE" w:rsidRPr="00BB1EDE">
        <w:rPr>
          <w:rFonts w:ascii="Arial" w:hAnsi="Arial" w:cs="Arial"/>
          <w:sz w:val="22"/>
          <w:szCs w:val="22"/>
          <w:vertAlign w:val="superscript"/>
        </w:rPr>
        <w:t>4</w:t>
      </w:r>
      <w:r w:rsidR="00BB1EDE" w:rsidRPr="00BB1EDE">
        <w:rPr>
          <w:rFonts w:ascii="Arial" w:hAnsi="Arial" w:cs="Arial"/>
          <w:sz w:val="22"/>
          <w:szCs w:val="22"/>
        </w:rPr>
        <w:t xml:space="preserve"> cells were placed in </w:t>
      </w:r>
      <w:proofErr w:type="spellStart"/>
      <w:r w:rsidR="00BB1EDE" w:rsidRPr="00BB1EDE">
        <w:rPr>
          <w:rFonts w:ascii="Arial" w:hAnsi="Arial" w:cs="Arial"/>
          <w:sz w:val="22"/>
          <w:szCs w:val="22"/>
        </w:rPr>
        <w:t>mammosphere</w:t>
      </w:r>
      <w:proofErr w:type="spellEnd"/>
      <w:r w:rsidR="00BB1EDE" w:rsidRPr="00BB1EDE">
        <w:rPr>
          <w:rFonts w:ascii="Arial" w:hAnsi="Arial" w:cs="Arial"/>
          <w:sz w:val="22"/>
          <w:szCs w:val="22"/>
        </w:rPr>
        <w:t xml:space="preserve"> forming medium for 7 days as described previously </w:t>
      </w:r>
      <w:r w:rsidR="00BB1EDE" w:rsidRPr="00BB1EDE">
        <w:rPr>
          <w:rFonts w:ascii="Arial" w:hAnsi="Arial" w:cs="Arial"/>
          <w:sz w:val="22"/>
          <w:szCs w:val="22"/>
        </w:rPr>
        <w:fldChar w:fldCharType="begin">
          <w:fldData xml:space="preserve">PEVuZE5vdGU+PENpdGU+PEF1dGhvcj5GYXJuaWU8L0F1dGhvcj48WWVhcj4yMDA3PC9ZZWFyPjxS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</w:fldData>
        </w:fldChar>
      </w:r>
      <w:r w:rsidR="00BB1EDE" w:rsidRPr="00BB1EDE">
        <w:rPr>
          <w:rFonts w:ascii="Arial" w:hAnsi="Arial" w:cs="Arial"/>
          <w:sz w:val="22"/>
          <w:szCs w:val="22"/>
        </w:rPr>
        <w:instrText xml:space="preserve"> ADDIN EN.CITE </w:instrText>
      </w:r>
      <w:r w:rsidR="00BB1EDE" w:rsidRPr="00BB1EDE">
        <w:rPr>
          <w:rFonts w:ascii="Arial" w:hAnsi="Arial" w:cs="Arial"/>
          <w:sz w:val="22"/>
          <w:szCs w:val="22"/>
        </w:rPr>
        <w:fldChar w:fldCharType="begin">
          <w:fldData xml:space="preserve">PEVuZE5vdGU+PENpdGU+PEF1dGhvcj5GYXJuaWU8L0F1dGhvcj48WWVhcj4yMDA3PC9ZZWFyPjxS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</w:fldData>
        </w:fldChar>
      </w:r>
      <w:r w:rsidR="00BB1EDE" w:rsidRPr="00BB1EDE">
        <w:rPr>
          <w:rFonts w:ascii="Arial" w:hAnsi="Arial" w:cs="Arial"/>
          <w:sz w:val="22"/>
          <w:szCs w:val="22"/>
        </w:rPr>
        <w:instrText xml:space="preserve"> ADDIN EN.CITE.DATA </w:instrText>
      </w:r>
      <w:r w:rsidR="00BB1EDE" w:rsidRPr="00BB1EDE">
        <w:rPr>
          <w:rFonts w:ascii="Arial" w:hAnsi="Arial" w:cs="Arial"/>
          <w:sz w:val="22"/>
          <w:szCs w:val="22"/>
        </w:rPr>
      </w:r>
      <w:r w:rsidR="00BB1EDE" w:rsidRPr="00BB1EDE">
        <w:rPr>
          <w:rFonts w:ascii="Arial" w:hAnsi="Arial" w:cs="Arial"/>
          <w:sz w:val="22"/>
          <w:szCs w:val="22"/>
        </w:rPr>
        <w:fldChar w:fldCharType="end"/>
      </w:r>
      <w:r w:rsidR="00BB1EDE" w:rsidRPr="00BB1EDE">
        <w:rPr>
          <w:rFonts w:ascii="Arial" w:hAnsi="Arial" w:cs="Arial"/>
          <w:sz w:val="22"/>
          <w:szCs w:val="22"/>
        </w:rPr>
      </w:r>
      <w:r w:rsidR="00BB1EDE" w:rsidRPr="00BB1EDE">
        <w:rPr>
          <w:rFonts w:ascii="Arial" w:hAnsi="Arial" w:cs="Arial"/>
          <w:sz w:val="22"/>
          <w:szCs w:val="22"/>
        </w:rPr>
        <w:fldChar w:fldCharType="separate"/>
      </w:r>
      <w:r w:rsidR="00BB1EDE" w:rsidRPr="00BB1EDE">
        <w:rPr>
          <w:rFonts w:ascii="Arial" w:hAnsi="Arial" w:cs="Arial"/>
          <w:noProof/>
          <w:sz w:val="22"/>
          <w:szCs w:val="22"/>
        </w:rPr>
        <w:t>(</w:t>
      </w:r>
      <w:hyperlink w:anchor="_ENREF_34" w:tooltip="Farnie, 2007 #82" w:history="1">
        <w:r w:rsidR="00BB1EDE" w:rsidRPr="00BB1EDE">
          <w:rPr>
            <w:rFonts w:ascii="Arial" w:hAnsi="Arial" w:cs="Arial"/>
            <w:noProof/>
            <w:sz w:val="22"/>
            <w:szCs w:val="22"/>
          </w:rPr>
          <w:t>34</w:t>
        </w:r>
      </w:hyperlink>
      <w:r w:rsidR="00BB1EDE" w:rsidRPr="00BB1EDE">
        <w:rPr>
          <w:rFonts w:ascii="Arial" w:hAnsi="Arial" w:cs="Arial"/>
          <w:noProof/>
          <w:sz w:val="22"/>
          <w:szCs w:val="22"/>
        </w:rPr>
        <w:t>)</w:t>
      </w:r>
      <w:r w:rsidR="00BB1EDE" w:rsidRPr="00BB1EDE">
        <w:rPr>
          <w:rFonts w:ascii="Arial" w:hAnsi="Arial" w:cs="Arial"/>
          <w:sz w:val="22"/>
          <w:szCs w:val="22"/>
        </w:rPr>
        <w:fldChar w:fldCharType="end"/>
      </w:r>
      <w:r w:rsidR="00BB1EDE" w:rsidRPr="00BB1EDE">
        <w:rPr>
          <w:rFonts w:ascii="Arial" w:hAnsi="Arial" w:cs="Arial"/>
          <w:sz w:val="22"/>
          <w:szCs w:val="22"/>
        </w:rPr>
        <w:t xml:space="preserve">. We modified the protocol adding 2.0% methylcellulose (cat# 274429, Sigma Aldrich, St. Louis, MO) to the </w:t>
      </w:r>
      <w:proofErr w:type="spellStart"/>
      <w:r w:rsidR="00BB1EDE" w:rsidRPr="00BB1EDE">
        <w:rPr>
          <w:rFonts w:ascii="Arial" w:hAnsi="Arial" w:cs="Arial"/>
          <w:sz w:val="22"/>
          <w:szCs w:val="22"/>
        </w:rPr>
        <w:t>mammosphere</w:t>
      </w:r>
      <w:proofErr w:type="spellEnd"/>
      <w:r w:rsidR="00BB1EDE" w:rsidRPr="00BB1EDE">
        <w:rPr>
          <w:rFonts w:ascii="Arial" w:hAnsi="Arial" w:cs="Arial"/>
          <w:sz w:val="22"/>
          <w:szCs w:val="22"/>
        </w:rPr>
        <w:t xml:space="preserve"> medium to ensure a single cell suspension.  After 7 days, images of the </w:t>
      </w:r>
      <w:proofErr w:type="spellStart"/>
      <w:r w:rsidR="00BB1EDE" w:rsidRPr="00BB1EDE">
        <w:rPr>
          <w:rFonts w:ascii="Arial" w:hAnsi="Arial" w:cs="Arial"/>
          <w:sz w:val="22"/>
          <w:szCs w:val="22"/>
        </w:rPr>
        <w:t>mammospheres</w:t>
      </w:r>
      <w:proofErr w:type="spellEnd"/>
      <w:r w:rsidR="00BB1EDE" w:rsidRPr="00BB1EDE">
        <w:rPr>
          <w:rFonts w:ascii="Arial" w:hAnsi="Arial" w:cs="Arial"/>
          <w:sz w:val="22"/>
          <w:szCs w:val="22"/>
        </w:rPr>
        <w:t xml:space="preserve"> at 20 and 40X magnification were taken and subsequently </w:t>
      </w:r>
      <w:proofErr w:type="spellStart"/>
      <w:r w:rsidR="00BB1EDE" w:rsidRPr="00BB1EDE">
        <w:rPr>
          <w:rFonts w:ascii="Arial" w:hAnsi="Arial" w:cs="Arial"/>
          <w:sz w:val="22"/>
          <w:szCs w:val="22"/>
        </w:rPr>
        <w:t>mammospheres</w:t>
      </w:r>
      <w:proofErr w:type="spellEnd"/>
      <w:r w:rsidR="00BB1EDE" w:rsidRPr="00BB1EDE">
        <w:rPr>
          <w:rFonts w:ascii="Arial" w:hAnsi="Arial" w:cs="Arial"/>
          <w:sz w:val="22"/>
          <w:szCs w:val="22"/>
        </w:rPr>
        <w:t xml:space="preserve"> were removed from the semi-solid </w:t>
      </w:r>
      <w:r w:rsidR="00BB1EDE" w:rsidRPr="00BB1EDE">
        <w:rPr>
          <w:rFonts w:ascii="Arial" w:hAnsi="Arial" w:cs="Arial"/>
          <w:sz w:val="22"/>
          <w:szCs w:val="22"/>
        </w:rPr>
        <w:lastRenderedPageBreak/>
        <w:t xml:space="preserve">medium by diluting the methylcellulose </w:t>
      </w:r>
      <w:proofErr w:type="gramStart"/>
      <w:r w:rsidR="00BB1EDE" w:rsidRPr="00BB1EDE">
        <w:rPr>
          <w:rFonts w:ascii="Arial" w:hAnsi="Arial" w:cs="Arial"/>
          <w:sz w:val="22"/>
          <w:szCs w:val="22"/>
        </w:rPr>
        <w:t>10 fold</w:t>
      </w:r>
      <w:proofErr w:type="gramEnd"/>
      <w:r w:rsidR="00BB1EDE" w:rsidRPr="00BB1EDE">
        <w:rPr>
          <w:rFonts w:ascii="Arial" w:hAnsi="Arial" w:cs="Arial"/>
          <w:sz w:val="22"/>
          <w:szCs w:val="22"/>
        </w:rPr>
        <w:t xml:space="preserve">. The </w:t>
      </w:r>
      <w:proofErr w:type="spellStart"/>
      <w:r w:rsidR="00BB1EDE" w:rsidRPr="00BB1EDE">
        <w:rPr>
          <w:rFonts w:ascii="Arial" w:hAnsi="Arial" w:cs="Arial"/>
          <w:sz w:val="22"/>
          <w:szCs w:val="22"/>
        </w:rPr>
        <w:t>mammospheres</w:t>
      </w:r>
      <w:proofErr w:type="spellEnd"/>
      <w:r w:rsidR="00BB1EDE" w:rsidRPr="00BB1EDE">
        <w:rPr>
          <w:rFonts w:ascii="Arial" w:hAnsi="Arial" w:cs="Arial"/>
          <w:sz w:val="22"/>
          <w:szCs w:val="22"/>
        </w:rPr>
        <w:t xml:space="preserve"> were resuspended in 1-2 mL of PBS and images of a 50</w:t>
      </w:r>
      <w:r w:rsidR="00BB1EDE" w:rsidRPr="00BB1EDE">
        <w:rPr>
          <w:rFonts w:ascii="Arial" w:hAnsi="Arial" w:cs="Arial"/>
          <w:sz w:val="22"/>
          <w:szCs w:val="22"/>
        </w:rPr>
        <w:sym w:font="Symbol" w:char="F06D"/>
      </w:r>
      <w:r w:rsidR="00BB1EDE" w:rsidRPr="00BB1EDE">
        <w:rPr>
          <w:rFonts w:ascii="Arial" w:hAnsi="Arial" w:cs="Arial"/>
          <w:sz w:val="22"/>
          <w:szCs w:val="22"/>
        </w:rPr>
        <w:t xml:space="preserve">L aliquot was taken at 4X to count all </w:t>
      </w:r>
      <w:proofErr w:type="spellStart"/>
      <w:r w:rsidR="00BB1EDE" w:rsidRPr="00BB1EDE">
        <w:rPr>
          <w:rFonts w:ascii="Arial" w:hAnsi="Arial" w:cs="Arial"/>
          <w:sz w:val="22"/>
          <w:szCs w:val="22"/>
        </w:rPr>
        <w:t>mammospheres</w:t>
      </w:r>
      <w:proofErr w:type="spellEnd"/>
      <w:r w:rsidR="00BB1EDE" w:rsidRPr="00BB1EDE">
        <w:rPr>
          <w:rFonts w:ascii="Arial" w:hAnsi="Arial" w:cs="Arial"/>
          <w:sz w:val="22"/>
          <w:szCs w:val="22"/>
        </w:rPr>
        <w:t xml:space="preserve"> greater than 50 microns in diameter. </w:t>
      </w:r>
      <w:proofErr w:type="spellStart"/>
      <w:r w:rsidR="00BB1EDE" w:rsidRPr="00BB1EDE">
        <w:rPr>
          <w:rFonts w:ascii="Arial" w:hAnsi="Arial" w:cs="Arial"/>
          <w:sz w:val="22"/>
          <w:szCs w:val="22"/>
        </w:rPr>
        <w:t>Mammosphere</w:t>
      </w:r>
      <w:proofErr w:type="spellEnd"/>
      <w:r w:rsidR="00BB1EDE" w:rsidRPr="00BB1EDE">
        <w:rPr>
          <w:rFonts w:ascii="Arial" w:hAnsi="Arial" w:cs="Arial"/>
          <w:sz w:val="22"/>
          <w:szCs w:val="22"/>
        </w:rPr>
        <w:t xml:space="preserve"> Forming Efficiency Percentage was calculated by taking [number of </w:t>
      </w:r>
      <w:proofErr w:type="spellStart"/>
      <w:r w:rsidR="00BB1EDE" w:rsidRPr="00BB1EDE">
        <w:rPr>
          <w:rFonts w:ascii="Arial" w:hAnsi="Arial" w:cs="Arial"/>
          <w:sz w:val="22"/>
          <w:szCs w:val="22"/>
        </w:rPr>
        <w:t>mammospheres</w:t>
      </w:r>
      <w:proofErr w:type="spellEnd"/>
      <w:r w:rsidR="00BB1EDE" w:rsidRPr="00BB1EDE">
        <w:rPr>
          <w:rFonts w:ascii="Arial" w:hAnsi="Arial" w:cs="Arial"/>
          <w:sz w:val="22"/>
          <w:szCs w:val="22"/>
        </w:rPr>
        <w:t xml:space="preserve"> counted) X (the dilution factor)] / (the number of cells seeded per well) *100. </w:t>
      </w:r>
    </w:p>
    <w:p w14:paraId="57A45852" w14:textId="77777777" w:rsidR="007D2E4B" w:rsidRDefault="007D2E4B" w:rsidP="004D4091">
      <w:pPr>
        <w:spacing w:line="480" w:lineRule="auto"/>
        <w:rPr>
          <w:rFonts w:ascii="Arial" w:hAnsi="Arial" w:cs="Arial"/>
          <w:i/>
          <w:iCs/>
        </w:rPr>
      </w:pPr>
    </w:p>
    <w:p w14:paraId="1E777D38" w14:textId="48C56444" w:rsidR="006C0B8E" w:rsidRPr="006C0B8E" w:rsidRDefault="007D2E4B" w:rsidP="004D4091">
      <w:pPr>
        <w:spacing w:line="480" w:lineRule="auto"/>
        <w:rPr>
          <w:rFonts w:ascii="Arial" w:hAnsi="Arial" w:cs="Arial"/>
          <w:sz w:val="20"/>
          <w:szCs w:val="20"/>
        </w:rPr>
      </w:pPr>
      <w:r w:rsidRPr="009C7F60">
        <w:rPr>
          <w:rFonts w:ascii="Arial" w:hAnsi="Arial" w:cs="Arial"/>
          <w:i/>
          <w:iCs/>
        </w:rPr>
        <w:t>Breast Tumor Xenograft Studies</w:t>
      </w:r>
      <w:r>
        <w:rPr>
          <w:rFonts w:ascii="Arial" w:hAnsi="Arial" w:cs="Arial"/>
          <w:i/>
          <w:iCs/>
        </w:rPr>
        <w:t xml:space="preserve">. </w:t>
      </w:r>
      <w:r w:rsidRPr="000B2DF1">
        <w:rPr>
          <w:rFonts w:ascii="Arial" w:hAnsi="Arial" w:cs="Arial"/>
        </w:rPr>
        <w:t>MCF-7 cells were transfected with a control siRNA (Cat# 499238875, Integrated DNA Technology-IDT) or a DAXX siRNA (On-</w:t>
      </w:r>
      <w:proofErr w:type="spellStart"/>
      <w:r w:rsidRPr="000B2DF1">
        <w:rPr>
          <w:rFonts w:ascii="Arial" w:hAnsi="Arial" w:cs="Arial"/>
        </w:rPr>
        <w:t>Targetplus</w:t>
      </w:r>
      <w:proofErr w:type="spellEnd"/>
      <w:r w:rsidRPr="000B2DF1">
        <w:rPr>
          <w:rFonts w:ascii="Arial" w:hAnsi="Arial" w:cs="Arial"/>
        </w:rPr>
        <w:t xml:space="preserve"> Human Cat# LU-004420-00-0002, Horizon</w:t>
      </w:r>
      <w:r>
        <w:rPr>
          <w:rFonts w:ascii="Arial" w:hAnsi="Arial" w:cs="Arial"/>
        </w:rPr>
        <w:t>)</w:t>
      </w:r>
      <w:r w:rsidRPr="000B2DF1">
        <w:rPr>
          <w:rFonts w:ascii="Arial" w:hAnsi="Arial" w:cs="Arial"/>
        </w:rPr>
        <w:t xml:space="preserve"> for 48 hours using </w:t>
      </w:r>
      <w:proofErr w:type="spellStart"/>
      <w:r w:rsidRPr="000B2DF1">
        <w:rPr>
          <w:rFonts w:ascii="Arial" w:hAnsi="Arial" w:cs="Arial"/>
        </w:rPr>
        <w:t>RNAiMax</w:t>
      </w:r>
      <w:proofErr w:type="spellEnd"/>
      <w:r w:rsidRPr="000B2DF1">
        <w:rPr>
          <w:rFonts w:ascii="Arial" w:hAnsi="Arial" w:cs="Arial"/>
        </w:rPr>
        <w:t>. Cells were counted using the Countess Live Cell Imager (Cat# and source)</w:t>
      </w:r>
      <w:r>
        <w:rPr>
          <w:rFonts w:ascii="Arial" w:hAnsi="Arial" w:cs="Arial"/>
        </w:rPr>
        <w:t xml:space="preserve"> and 1,000,000 million cells diluted in 100μL of sterile PBS were injected bilaterally into the 4</w:t>
      </w:r>
      <w:r w:rsidRPr="001A4385">
        <w:rPr>
          <w:rFonts w:ascii="Arial" w:hAnsi="Arial" w:cs="Arial"/>
          <w:vertAlign w:val="superscript"/>
        </w:rPr>
        <w:t>th</w:t>
      </w:r>
      <w:r>
        <w:rPr>
          <w:rFonts w:ascii="Arial" w:hAnsi="Arial" w:cs="Arial"/>
        </w:rPr>
        <w:t xml:space="preserve"> mammary fat pad of female, </w:t>
      </w:r>
      <w:r w:rsidRPr="00AA16FB">
        <w:rPr>
          <w:rFonts w:ascii="Arial" w:hAnsi="Arial" w:cs="Arial"/>
          <w:i/>
          <w:iCs/>
        </w:rPr>
        <w:t>FoxN1</w:t>
      </w:r>
      <w:r>
        <w:rPr>
          <w:rFonts w:ascii="Arial" w:hAnsi="Arial" w:cs="Arial"/>
        </w:rPr>
        <w:t xml:space="preserve"> nu/nu athymic mice (</w:t>
      </w:r>
      <w:proofErr w:type="spellStart"/>
      <w:r>
        <w:rPr>
          <w:rFonts w:ascii="Arial" w:hAnsi="Arial" w:cs="Arial"/>
        </w:rPr>
        <w:t>Envigo</w:t>
      </w:r>
      <w:proofErr w:type="spellEnd"/>
      <w:r>
        <w:rPr>
          <w:rFonts w:ascii="Arial" w:hAnsi="Arial" w:cs="Arial"/>
        </w:rPr>
        <w:t>/</w:t>
      </w:r>
      <w:proofErr w:type="spellStart"/>
      <w:r>
        <w:rPr>
          <w:rFonts w:ascii="Arial" w:hAnsi="Arial" w:cs="Arial"/>
        </w:rPr>
        <w:t>Inotiv</w:t>
      </w:r>
      <w:proofErr w:type="spellEnd"/>
      <w:r>
        <w:rPr>
          <w:rFonts w:ascii="Arial" w:hAnsi="Arial" w:cs="Arial"/>
        </w:rPr>
        <w:t xml:space="preserve">). All mice received a 0.4cm silastic release capsule containing 17β-estradiol to deliver peri-menopausal levels of estradiol (85-100pg/mL) up to 10 weeks </w:t>
      </w:r>
      <w:r>
        <w:rPr>
          <w:rFonts w:ascii="Arial" w:hAnsi="Arial" w:cs="Arial"/>
        </w:rPr>
        <w:fldChar w:fldCharType="begin">
          <w:fldData xml:space="preserve">PEVuZE5vdGU+PENpdGU+PEF1dGhvcj5PJmFwb3M7UmVnYW48L0F1dGhvcj48WWVhcj4xOTk4PC9Z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</w:fldData>
        </w:fldChar>
      </w:r>
      <w:r>
        <w:rPr>
          <w:rFonts w:ascii="Arial" w:hAnsi="Arial" w:cs="Arial"/>
        </w:rPr>
        <w:instrText xml:space="preserve"> ADDIN EN.CITE </w:instrText>
      </w:r>
      <w:r>
        <w:rPr>
          <w:rFonts w:ascii="Arial" w:hAnsi="Arial" w:cs="Arial"/>
        </w:rPr>
        <w:fldChar w:fldCharType="begin">
          <w:fldData xml:space="preserve">PEVuZE5vdGU+PENpdGU+PEF1dGhvcj5PJmFwb3M7UmVnYW48L0F1dGhvcj48WWVhcj4xOTk4PC9Z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w:t>
      </w:r>
      <w:hyperlink w:anchor="_ENREF_48" w:tooltip="O'Regan, 1998 #6101" w:history="1">
        <w:r>
          <w:rPr>
            <w:rFonts w:ascii="Arial" w:hAnsi="Arial" w:cs="Arial"/>
            <w:noProof/>
          </w:rPr>
          <w:t>48</w:t>
        </w:r>
      </w:hyperlink>
      <w:r>
        <w:rPr>
          <w:rFonts w:ascii="Arial" w:hAnsi="Arial" w:cs="Arial"/>
          <w:noProof/>
        </w:rPr>
        <w:t>)</w:t>
      </w:r>
      <w:r>
        <w:rPr>
          <w:rFonts w:ascii="Arial" w:hAnsi="Arial" w:cs="Arial"/>
        </w:rPr>
        <w:fldChar w:fldCharType="end"/>
      </w:r>
      <w:r>
        <w:rPr>
          <w:rFonts w:ascii="Arial" w:hAnsi="Arial" w:cs="Arial"/>
        </w:rPr>
        <w:t>. Once tumors reached a mean volume of 75-100mm</w:t>
      </w:r>
      <w:r w:rsidRPr="00946BB9">
        <w:rPr>
          <w:rFonts w:ascii="Arial" w:hAnsi="Arial" w:cs="Arial"/>
          <w:vertAlign w:val="superscript"/>
        </w:rPr>
        <w:t>3</w:t>
      </w:r>
      <w:r>
        <w:rPr>
          <w:rFonts w:ascii="Arial" w:hAnsi="Arial" w:cs="Arial"/>
        </w:rPr>
        <w:t>, mice were randomized to retain the capsule (+estradiol) or remove the capsule (-estradiol). Then, the mice received the following treatment groups: 1. Control + Estradiol (E</w:t>
      </w:r>
      <w:r w:rsidRPr="005F1455">
        <w:rPr>
          <w:rFonts w:ascii="Arial" w:hAnsi="Arial" w:cs="Arial"/>
          <w:vertAlign w:val="subscript"/>
        </w:rPr>
        <w:t>2</w:t>
      </w:r>
      <w:r>
        <w:rPr>
          <w:rFonts w:ascii="Arial" w:hAnsi="Arial" w:cs="Arial"/>
        </w:rPr>
        <w:t>), 2. Control – E</w:t>
      </w:r>
      <w:r w:rsidRPr="005F1455">
        <w:rPr>
          <w:rFonts w:ascii="Arial" w:hAnsi="Arial" w:cs="Arial"/>
          <w:vertAlign w:val="subscript"/>
        </w:rPr>
        <w:t>2</w:t>
      </w:r>
      <w:r>
        <w:rPr>
          <w:rFonts w:ascii="Arial" w:hAnsi="Arial" w:cs="Arial"/>
        </w:rPr>
        <w:t>, 3. Control -E</w:t>
      </w:r>
      <w:r w:rsidRPr="00D20B17">
        <w:rPr>
          <w:rFonts w:ascii="Arial" w:hAnsi="Arial" w:cs="Arial"/>
          <w:vertAlign w:val="subscript"/>
        </w:rPr>
        <w:t>2</w:t>
      </w:r>
      <w:r>
        <w:rPr>
          <w:rFonts w:ascii="Arial" w:hAnsi="Arial" w:cs="Arial"/>
        </w:rPr>
        <w:t xml:space="preserve"> + 75mg/kg MK-0752 (3 days-on, 4 days-off), 4. DAXX knockdown + E</w:t>
      </w:r>
      <w:r w:rsidRPr="00D20B17">
        <w:rPr>
          <w:rFonts w:ascii="Arial" w:hAnsi="Arial" w:cs="Arial"/>
          <w:vertAlign w:val="subscript"/>
        </w:rPr>
        <w:t>2</w:t>
      </w:r>
      <w:r>
        <w:rPr>
          <w:rFonts w:ascii="Arial" w:hAnsi="Arial" w:cs="Arial"/>
        </w:rPr>
        <w:t>, 5. DAXX knockdown -E</w:t>
      </w:r>
      <w:r w:rsidRPr="00D20B17">
        <w:rPr>
          <w:rFonts w:ascii="Arial" w:hAnsi="Arial" w:cs="Arial"/>
          <w:vertAlign w:val="subscript"/>
        </w:rPr>
        <w:t>2</w:t>
      </w:r>
      <w:r>
        <w:rPr>
          <w:rFonts w:ascii="Arial" w:hAnsi="Arial" w:cs="Arial"/>
        </w:rPr>
        <w:t>, 6. DAXX knockdown -E</w:t>
      </w:r>
      <w:r w:rsidRPr="00D20B17">
        <w:rPr>
          <w:rFonts w:ascii="Arial" w:hAnsi="Arial" w:cs="Arial"/>
          <w:vertAlign w:val="subscript"/>
        </w:rPr>
        <w:t>2</w:t>
      </w:r>
      <w:r>
        <w:rPr>
          <w:rFonts w:ascii="Arial" w:hAnsi="Arial" w:cs="Arial"/>
        </w:rPr>
        <w:t xml:space="preserve"> + MK-0752. Mice were treated for 4 </w:t>
      </w:r>
      <w:proofErr w:type="gramStart"/>
      <w:r>
        <w:rPr>
          <w:rFonts w:ascii="Arial" w:hAnsi="Arial" w:cs="Arial"/>
        </w:rPr>
        <w:t>weeks</w:t>
      </w:r>
      <w:proofErr w:type="gramEnd"/>
      <w:r>
        <w:rPr>
          <w:rFonts w:ascii="Arial" w:hAnsi="Arial" w:cs="Arial"/>
        </w:rPr>
        <w:t xml:space="preserve"> and tumor areas (L x W) were measured weekly using Vernier calipers. On day 80, the study ceased, mice were euthanized, tumors were excised, imaged with a ruler, and their masses weighed. Overall survival of mice was also measured. The animal protocol was approved by Loyola University Chicago’s IACUC</w:t>
      </w:r>
      <w:r>
        <w:rPr>
          <w:rFonts w:ascii="Arial" w:hAnsi="Arial" w:cs="Arial"/>
        </w:rPr>
        <w:t>.</w:t>
      </w:r>
    </w:p>
    <w:p w14:paraId="624CE822" w14:textId="53FFC579" w:rsidR="00730E04" w:rsidRDefault="00730E04" w:rsidP="004D4091">
      <w:pPr>
        <w:spacing w:line="480" w:lineRule="auto"/>
        <w:rPr>
          <w:rFonts w:ascii="Arial" w:hAnsi="Arial" w:cs="Arial"/>
          <w:i/>
          <w:iCs/>
          <w:sz w:val="22"/>
          <w:szCs w:val="22"/>
        </w:rPr>
      </w:pPr>
      <w:r w:rsidRPr="00730E04">
        <w:rPr>
          <w:rFonts w:ascii="Arial" w:hAnsi="Arial" w:cs="Arial"/>
          <w:i/>
          <w:iCs/>
          <w:sz w:val="22"/>
          <w:szCs w:val="22"/>
        </w:rPr>
        <w:lastRenderedPageBreak/>
        <w:t>Immunohistochemistry</w:t>
      </w:r>
    </w:p>
    <w:p w14:paraId="05E1BF88" w14:textId="77777777" w:rsidR="00730E04" w:rsidRPr="00730E04" w:rsidRDefault="00730E04" w:rsidP="00730E04">
      <w:pPr>
        <w:spacing w:line="480" w:lineRule="auto"/>
        <w:rPr>
          <w:rFonts w:ascii="Arial" w:hAnsi="Arial" w:cs="Arial"/>
          <w:i/>
          <w:iCs/>
          <w:sz w:val="22"/>
          <w:szCs w:val="22"/>
        </w:rPr>
      </w:pPr>
      <w:r w:rsidRPr="00730E04">
        <w:rPr>
          <w:rFonts w:ascii="Arial" w:hAnsi="Arial" w:cs="Arial"/>
          <w:sz w:val="22"/>
          <w:szCs w:val="22"/>
        </w:rPr>
        <w:t xml:space="preserve">Breast tumors embedded in paraffin were sliced into sections and placed onto glass slides. Tissue microarrays were created using tissue punches. The tissues were deparaffinized and rehydrated by incubating at 65oC for 30 minutes. Then, the slides were immersed in xylene two times each for 3 minutes. Tissue sections were rehydrated through immersion in a series of decreasing alcohol concentrations for 3 min each (100%, 100%, 95%, 95%, 80%, 50%) to distilled water. Antigen retrieval was performed using a universal heat-induced epitope retrieval method using a 10X HEIR solution at 1X in a pressure cooker (Cat ab208572, Abcam, Cambridge, MA) for 30 minutes. Tissues were cooled in an ice water bath and washed with running water for 5 minutes. Sections were placed in PBS for 15 minutes. To prevent non-specific binding, sections were incubated in 0.3% hydrogen peroxide-diluted in PBS (cat H1009, Sigma-Aldrich, St. Louis, MO) for 15 minutes to block endogenous peroxidase activity. The sections were washed in PBS (three times, 5 minutes each).  A PAP pen (cat NC9827128, Fisher Scientific, </w:t>
      </w:r>
      <w:proofErr w:type="spellStart"/>
      <w:r w:rsidRPr="00730E04">
        <w:rPr>
          <w:rFonts w:ascii="Arial" w:hAnsi="Arial" w:cs="Arial"/>
          <w:sz w:val="22"/>
          <w:szCs w:val="22"/>
        </w:rPr>
        <w:t>Whaltam</w:t>
      </w:r>
      <w:proofErr w:type="spellEnd"/>
      <w:r w:rsidRPr="00730E04">
        <w:rPr>
          <w:rFonts w:ascii="Arial" w:hAnsi="Arial" w:cs="Arial"/>
          <w:sz w:val="22"/>
          <w:szCs w:val="22"/>
        </w:rPr>
        <w:t xml:space="preserve">, MA) was used to enclose tissue sections. To block non-specific binding, A 10% serum solution from VECTASTAIN® Elite ABC-HRP Kit, Peroxidase (Rabbit IgG) (Cat Pk-6101, Vector Labs, Newark, CA) was added to tissue sections for 30 minutes in a humidified chamber at room temperature. The blocking solution was removed and primary antibody was added in fresh blocking solution at 1:75 for the rabbit anti-human DAXX antibody (Cat HPA008736-100, Sigma-Aldrich, St. Louis, MO) and 1:75 for the rabbit monoclonal anti-Ki-67 antibody (D2H10) antibody (Cat.No.9027, Cell Signaling Technology, Danvers, MA). Tissue sections were incubated with antibodies overnight in a humidified chamber at room temperature. Sections were washed using PBS (three changes, 5 minutes each).  A goat anti-Rabbit IgG (H+L) cross adsorbed secondary antibody biotin-conjugated (Cat no 31822, </w:t>
      </w:r>
      <w:proofErr w:type="spellStart"/>
      <w:r w:rsidRPr="00730E04">
        <w:rPr>
          <w:rFonts w:ascii="Arial" w:hAnsi="Arial" w:cs="Arial"/>
          <w:sz w:val="22"/>
          <w:szCs w:val="22"/>
        </w:rPr>
        <w:t>ThermoFisher</w:t>
      </w:r>
      <w:proofErr w:type="spellEnd"/>
      <w:r w:rsidRPr="00730E04">
        <w:rPr>
          <w:rFonts w:ascii="Arial" w:hAnsi="Arial" w:cs="Arial"/>
          <w:sz w:val="22"/>
          <w:szCs w:val="22"/>
        </w:rPr>
        <w:t xml:space="preserve"> Scientific, Waltham, MA) was added to sections for 45 minutes in a humidified chamber at room temperature. Sections were washed with PBS (three times, 5 minutes each).   An ABC solution </w:t>
      </w:r>
      <w:r w:rsidRPr="00730E04">
        <w:rPr>
          <w:rFonts w:ascii="Arial" w:hAnsi="Arial" w:cs="Arial"/>
          <w:sz w:val="22"/>
          <w:szCs w:val="22"/>
        </w:rPr>
        <w:lastRenderedPageBreak/>
        <w:t xml:space="preserve">was prepared 30 minutes prior to addition of a VECTASTAIN® Elite ABC-HRP Kit to tissue sections for 30 minutes in a humidified chamber in the dark at room temperature. Sections were washed using PBS (three times, 5 minutes each).   Development of tissue sections was performed using a DAB kit (cat SK-4100, Vector Labs, Newark, CA). DAB was added to all slides simultaneously. Once developed, all sections are added to water to stop development for 10 minutes. Sections were then counterstained with Hematoxylin and dehydrated with the following series of immersions: Hematoxylin (Cat. 3801532) (1 minute), water (20X), differentiating solution (cat HXD00142E, Fisher Scientific, Waltham, Massachusetts) (3X), water (20X), bluing solution (HXB00242E, Fisher Scientific, Waltham, Massachusetts) (40 seconds), water (2-3 minutes), 95% Ethanol (2 changes, 15 dips), 100% Ethanol (2 changes, 15 dips), Xylene (3 changes, 1, 1, 5 minutes). Sections were mounted with a drop of </w:t>
      </w:r>
      <w:proofErr w:type="spellStart"/>
      <w:r w:rsidRPr="00730E04">
        <w:rPr>
          <w:rFonts w:ascii="Arial" w:hAnsi="Arial" w:cs="Arial"/>
          <w:sz w:val="22"/>
          <w:szCs w:val="22"/>
        </w:rPr>
        <w:t>Vectamount</w:t>
      </w:r>
      <w:proofErr w:type="spellEnd"/>
      <w:r w:rsidRPr="00730E04">
        <w:rPr>
          <w:rFonts w:ascii="Arial" w:hAnsi="Arial" w:cs="Arial"/>
          <w:sz w:val="22"/>
          <w:szCs w:val="22"/>
        </w:rPr>
        <w:t xml:space="preserve"> </w:t>
      </w:r>
      <w:r w:rsidRPr="0064402C">
        <w:rPr>
          <w:rFonts w:ascii="Arial" w:hAnsi="Arial" w:cs="Arial"/>
        </w:rPr>
        <w:t>(Cat H-</w:t>
      </w:r>
      <w:r w:rsidRPr="00730E04">
        <w:rPr>
          <w:rFonts w:ascii="Arial" w:hAnsi="Arial" w:cs="Arial"/>
          <w:sz w:val="22"/>
          <w:szCs w:val="22"/>
        </w:rPr>
        <w:t xml:space="preserve">5000, Vector Labs, Newark, CA) and covered using a cover slip prior to imaging. Loyola University Chicago’s Institutional Review Board (IRB) approved the retrospective tumor tissue analysis. </w:t>
      </w:r>
    </w:p>
    <w:p w14:paraId="517B6515" w14:textId="77777777" w:rsidR="00730E04" w:rsidRPr="00730E04" w:rsidRDefault="00730E04" w:rsidP="004D4091">
      <w:pPr>
        <w:spacing w:line="480" w:lineRule="auto"/>
        <w:rPr>
          <w:sz w:val="22"/>
          <w:szCs w:val="22"/>
        </w:rPr>
      </w:pPr>
    </w:p>
    <w:sectPr w:rsidR="00730E04" w:rsidRPr="00730E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091"/>
    <w:rsid w:val="0009675D"/>
    <w:rsid w:val="000E2359"/>
    <w:rsid w:val="001354C6"/>
    <w:rsid w:val="001D0470"/>
    <w:rsid w:val="002A01B6"/>
    <w:rsid w:val="003310DF"/>
    <w:rsid w:val="0039012C"/>
    <w:rsid w:val="003E02AA"/>
    <w:rsid w:val="004D4091"/>
    <w:rsid w:val="00590032"/>
    <w:rsid w:val="005D6E6D"/>
    <w:rsid w:val="00652473"/>
    <w:rsid w:val="006C0B8E"/>
    <w:rsid w:val="00722AF0"/>
    <w:rsid w:val="00730E04"/>
    <w:rsid w:val="007D2E4B"/>
    <w:rsid w:val="00837C17"/>
    <w:rsid w:val="00883385"/>
    <w:rsid w:val="00894B78"/>
    <w:rsid w:val="008A20A0"/>
    <w:rsid w:val="0091633A"/>
    <w:rsid w:val="00923BA5"/>
    <w:rsid w:val="00981B45"/>
    <w:rsid w:val="00B70C47"/>
    <w:rsid w:val="00BB1EDE"/>
    <w:rsid w:val="00CF2199"/>
    <w:rsid w:val="00DC790B"/>
    <w:rsid w:val="00E31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0F196"/>
  <w15:chartTrackingRefBased/>
  <w15:docId w15:val="{C2F7C765-3E87-4DFE-A675-4E0505A9E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40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40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40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40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40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40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0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0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0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0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40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40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40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40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40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0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0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091"/>
    <w:rPr>
      <w:rFonts w:eastAsiaTheme="majorEastAsia" w:cstheme="majorBidi"/>
      <w:color w:val="272727" w:themeColor="text1" w:themeTint="D8"/>
    </w:rPr>
  </w:style>
  <w:style w:type="paragraph" w:styleId="Title">
    <w:name w:val="Title"/>
    <w:basedOn w:val="Normal"/>
    <w:next w:val="Normal"/>
    <w:link w:val="TitleChar"/>
    <w:uiPriority w:val="10"/>
    <w:qFormat/>
    <w:rsid w:val="004D40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0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0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0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091"/>
    <w:pPr>
      <w:spacing w:before="160"/>
      <w:jc w:val="center"/>
    </w:pPr>
    <w:rPr>
      <w:i/>
      <w:iCs/>
      <w:color w:val="404040" w:themeColor="text1" w:themeTint="BF"/>
    </w:rPr>
  </w:style>
  <w:style w:type="character" w:customStyle="1" w:styleId="QuoteChar">
    <w:name w:val="Quote Char"/>
    <w:basedOn w:val="DefaultParagraphFont"/>
    <w:link w:val="Quote"/>
    <w:uiPriority w:val="29"/>
    <w:rsid w:val="004D4091"/>
    <w:rPr>
      <w:i/>
      <w:iCs/>
      <w:color w:val="404040" w:themeColor="text1" w:themeTint="BF"/>
    </w:rPr>
  </w:style>
  <w:style w:type="paragraph" w:styleId="ListParagraph">
    <w:name w:val="List Paragraph"/>
    <w:basedOn w:val="Normal"/>
    <w:uiPriority w:val="34"/>
    <w:qFormat/>
    <w:rsid w:val="004D4091"/>
    <w:pPr>
      <w:ind w:left="720"/>
      <w:contextualSpacing/>
    </w:pPr>
  </w:style>
  <w:style w:type="character" w:styleId="IntenseEmphasis">
    <w:name w:val="Intense Emphasis"/>
    <w:basedOn w:val="DefaultParagraphFont"/>
    <w:uiPriority w:val="21"/>
    <w:qFormat/>
    <w:rsid w:val="004D4091"/>
    <w:rPr>
      <w:i/>
      <w:iCs/>
      <w:color w:val="0F4761" w:themeColor="accent1" w:themeShade="BF"/>
    </w:rPr>
  </w:style>
  <w:style w:type="paragraph" w:styleId="IntenseQuote">
    <w:name w:val="Intense Quote"/>
    <w:basedOn w:val="Normal"/>
    <w:next w:val="Normal"/>
    <w:link w:val="IntenseQuoteChar"/>
    <w:uiPriority w:val="30"/>
    <w:qFormat/>
    <w:rsid w:val="004D40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091"/>
    <w:rPr>
      <w:i/>
      <w:iCs/>
      <w:color w:val="0F4761" w:themeColor="accent1" w:themeShade="BF"/>
    </w:rPr>
  </w:style>
  <w:style w:type="character" w:styleId="IntenseReference">
    <w:name w:val="Intense Reference"/>
    <w:basedOn w:val="DefaultParagraphFont"/>
    <w:uiPriority w:val="32"/>
    <w:qFormat/>
    <w:rsid w:val="004D40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2534</Words>
  <Characters>14445</Characters>
  <Application>Microsoft Office Word</Application>
  <DocSecurity>0</DocSecurity>
  <Lines>120</Lines>
  <Paragraphs>33</Paragraphs>
  <ScaleCrop>false</ScaleCrop>
  <Company/>
  <LinksUpToDate>false</LinksUpToDate>
  <CharactersWithSpaces>16946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Osipo, Clodia</dc:creator>
  <cp:keywords/>
  <dc:description/>
  <cp:lastModifiedBy>Osipo, Clodia</cp:lastModifiedBy>
  <cp:revision>20</cp:revision>
  <dcterms:created xsi:type="dcterms:W3CDTF">2026-07-13T19:26:00Z</dcterms:created>
  <dcterms:modified xsi:type="dcterms:W3CDTF">2026-09-08T19:25:00Z</dcterms:modified>
</cp:coreProperties>
</file>